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Fisher Adam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FIVERR INTERNATIONAL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5"/>
        <w:gridCol w:w="903"/>
        <w:gridCol w:w="772"/>
        <w:gridCol w:w="600"/>
        <w:gridCol w:w="352"/>
        <w:gridCol w:w="816"/>
        <w:gridCol w:w="464"/>
        <w:gridCol w:w="626"/>
        <w:gridCol w:w="1179"/>
        <w:gridCol w:w="100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65,704</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r>
              <w:rPr/>
              <w:t xml:space="preserve"> </w:t>
            </w:r>
          </w:p>
        </w:tc>
      </w:tr>
      <w:tr>
        <w:trPr/>
        <w:tc>
          <w:tcPr>
            <w:tcW w:w="24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Bessemer Venture Partners VII Institutional L.P. ("BVP VII Inst"), Bessemer Venture Partners VII L.P. ("BVP VII"), and BVP VII Special Opportunity Fund L.P. ("BVP VII SOF") (together with BVP VII Inst and BVP VIII, the "Bessemer Funds") sold 6,460, 14,767 and 24,920 shares of Class A Common Stock of the Issuer, respectively, at a weighted average price of $10.23. These shares were sold in multiple transactions at prices ranging from $10.05 to $10.37.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11, 2026, BVP VII Inst, BVP VII and BVP VII SOF sold 10,737, 24,540 and 41,413 shares of Class A Common Stock of the Issuer, respectively, at a weighted average price of $9.83. These shares were sold in multiple transactions at prices ranging from $10.05 to $10.37.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partner at Bessemer Venture Partners and has an indirect, passive economic interest in the shares held by the Bessemer Funds by virtue of his interest in (1) Deer VII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Augie Wilkinson,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8553"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4826</Characters>
  <CharactersWithSpaces>5670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