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229870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5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Commission File Number: 001-38929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225425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9"/>
          <w:szCs w:val="29"/>
          <w:b w:val="1"/>
          <w:bCs w:val="1"/>
          <w:color w:val="auto"/>
        </w:rPr>
        <w:t>Fiverr International Ltd.</w:t>
      </w:r>
    </w:p>
    <w:p>
      <w:pPr>
        <w:spacing w:after="0" w:line="4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215900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8 Eliezer Kaplan Street</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Tel Aviv 6473409, Israel</w:t>
      </w:r>
    </w:p>
    <w:p>
      <w:pPr>
        <w:spacing w:after="0" w:line="2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060"/>
        <w:spacing w:after="0" w:line="207" w:lineRule="exact"/>
        <w:tabs>
          <w:tab w:leader="none" w:pos="54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309245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853" w:right="1440"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color w:val="auto"/>
        </w:rPr>
        <w:t>On April 29, 2026, Fiverr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hold a conference call regarding its unaudited financial results for the first quarter ended March 31, 2026. A copy of the related press release is furnished as Exhibit 99.1 hereto.</w:t>
      </w:r>
    </w:p>
    <w:p>
      <w:pPr>
        <w:spacing w:after="0" w:line="18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Fiverr International Ltd., dated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40"/>
          </w:cols>
          <w:pgMar w:left="660" w:top="347"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Fiverr International Ltd.</w:t>
            </w:r>
          </w:p>
        </w:tc>
      </w:tr>
      <w:tr>
        <w:trPr>
          <w:trHeight w:val="40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768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By: /s/ Esti Levy Dadon</w:t>
            </w:r>
          </w:p>
        </w:tc>
      </w:tr>
      <w:tr>
        <w:trPr>
          <w:trHeight w:val="20"/>
        </w:trPr>
        <w:tc>
          <w:tcPr>
            <w:tcW w:w="35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18"/>
        </w:trPr>
        <w:tc>
          <w:tcPr>
            <w:tcW w:w="3560" w:type="dxa"/>
            <w:vAlign w:val="bottom"/>
          </w:tcPr>
          <w:p>
            <w:pPr>
              <w:spacing w:after="0"/>
              <w:rPr>
                <w:sz w:val="18"/>
                <w:szCs w:val="18"/>
                <w:color w:val="auto"/>
              </w:rPr>
            </w:pPr>
          </w:p>
        </w:tc>
        <w:tc>
          <w:tcPr>
            <w:tcW w:w="768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Esti Levy Dadon</w:t>
            </w:r>
          </w:p>
        </w:tc>
      </w:tr>
      <w:tr>
        <w:trPr>
          <w:trHeight w:val="234"/>
        </w:trPr>
        <w:tc>
          <w:tcPr>
            <w:tcW w:w="3560" w:type="dxa"/>
            <w:vAlign w:val="bottom"/>
          </w:tcPr>
          <w:p>
            <w:pPr>
              <w:spacing w:after="0"/>
              <w:rPr>
                <w:sz w:val="20"/>
                <w:szCs w:val="20"/>
                <w:color w:val="auto"/>
              </w:rPr>
            </w:pPr>
          </w:p>
        </w:tc>
        <w:tc>
          <w:tcPr>
            <w:tcW w:w="768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35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163"/>
        </w:trPr>
        <w:tc>
          <w:tcPr>
            <w:tcW w:w="3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Fiverr Announces First Quarter 2026 Results</w:t>
      </w:r>
    </w:p>
    <w:p>
      <w:pPr>
        <w:spacing w:after="0" w:line="239" w:lineRule="exact"/>
        <w:rPr>
          <w:sz w:val="20"/>
          <w:szCs w:val="20"/>
          <w:color w:val="auto"/>
        </w:rPr>
      </w:pPr>
    </w:p>
    <w:p>
      <w:pPr>
        <w:ind w:left="920" w:right="180" w:hanging="345"/>
        <w:spacing w:after="0" w:line="28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Solid Q1’26 execution: </w:t>
      </w:r>
      <w:r>
        <w:rPr>
          <w:rFonts w:ascii="Times New Roman" w:cs="Times New Roman" w:eastAsia="Times New Roman" w:hAnsi="Times New Roman"/>
          <w:sz w:val="18"/>
          <w:szCs w:val="18"/>
          <w:color w:val="auto"/>
        </w:rPr>
        <w:t>Revenue and Adjusted EBITDA both exceeded the midpoint of our guidance, reflecting disciplined execution as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through our multi-year transformation.</w:t>
      </w:r>
    </w:p>
    <w:p>
      <w:pPr>
        <w:spacing w:after="0" w:line="154" w:lineRule="exact"/>
        <w:rPr>
          <w:rFonts w:ascii="Times New Roman" w:cs="Times New Roman" w:eastAsia="Times New Roman" w:hAnsi="Times New Roman"/>
          <w:sz w:val="18"/>
          <w:szCs w:val="18"/>
          <w:color w:val="auto"/>
        </w:rPr>
      </w:pPr>
    </w:p>
    <w:p>
      <w:pPr>
        <w:ind w:left="920" w:right="220" w:hanging="345"/>
        <w:spacing w:after="0" w:line="28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Momentum in higher-value work: </w:t>
      </w:r>
      <w:r>
        <w:rPr>
          <w:rFonts w:ascii="Times New Roman" w:cs="Times New Roman" w:eastAsia="Times New Roman" w:hAnsi="Times New Roman"/>
          <w:sz w:val="18"/>
          <w:szCs w:val="18"/>
          <w:color w:val="auto"/>
        </w:rPr>
        <w:t>Projects over $1,000 grew at a strong double-digit rate, driven by 18% y/y growth in clients completing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 projects and an expanding base of talent serving these engagements.</w:t>
      </w:r>
    </w:p>
    <w:p>
      <w:pPr>
        <w:spacing w:after="0" w:line="154" w:lineRule="exact"/>
        <w:rPr>
          <w:rFonts w:ascii="Times New Roman" w:cs="Times New Roman" w:eastAsia="Times New Roman" w:hAnsi="Times New Roman"/>
          <w:sz w:val="18"/>
          <w:szCs w:val="18"/>
          <w:color w:val="auto"/>
        </w:rPr>
      </w:pPr>
    </w:p>
    <w:p>
      <w:pPr>
        <w:ind w:left="920" w:right="160" w:hanging="345"/>
        <w:spacing w:after="0" w:line="28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Early progress on trust and quality: </w:t>
      </w:r>
      <w:r>
        <w:rPr>
          <w:rFonts w:ascii="Times New Roman" w:cs="Times New Roman" w:eastAsia="Times New Roman" w:hAnsi="Times New Roman"/>
          <w:sz w:val="18"/>
          <w:szCs w:val="18"/>
          <w:color w:val="auto"/>
        </w:rPr>
        <w:t>Ongoing improvements to matching infrastructure are beginning to show results, with early Fiverr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tests reducing mismatch rates by nearly 10%.</w:t>
      </w:r>
    </w:p>
    <w:p>
      <w:pPr>
        <w:spacing w:after="0" w:line="154" w:lineRule="exact"/>
        <w:rPr>
          <w:rFonts w:ascii="Times New Roman" w:cs="Times New Roman" w:eastAsia="Times New Roman" w:hAnsi="Times New Roman"/>
          <w:sz w:val="18"/>
          <w:szCs w:val="18"/>
          <w:color w:val="auto"/>
        </w:rPr>
      </w:pPr>
    </w:p>
    <w:p>
      <w:pPr>
        <w:ind w:left="920" w:right="680" w:hanging="345"/>
        <w:spacing w:after="0" w:line="28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toward a work platform: </w:t>
      </w:r>
      <w:r>
        <w:rPr>
          <w:rFonts w:ascii="Times New Roman" w:cs="Times New Roman" w:eastAsia="Times New Roman" w:hAnsi="Times New Roman"/>
          <w:sz w:val="18"/>
          <w:szCs w:val="18"/>
          <w:color w:val="auto"/>
        </w:rPr>
        <w:t>Continued investments in fulfillment and workflow infrastructure to improve project visibility,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coordination and quality across the platform.</w:t>
      </w:r>
    </w:p>
    <w:p>
      <w:pPr>
        <w:spacing w:after="0" w:line="154" w:lineRule="exact"/>
        <w:rPr>
          <w:rFonts w:ascii="Times New Roman" w:cs="Times New Roman" w:eastAsia="Times New Roman" w:hAnsi="Times New Roman"/>
          <w:sz w:val="18"/>
          <w:szCs w:val="18"/>
          <w:color w:val="auto"/>
        </w:rPr>
      </w:pPr>
    </w:p>
    <w:p>
      <w:pPr>
        <w:ind w:left="920" w:right="100" w:hanging="345"/>
        <w:spacing w:after="0" w:line="26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Raising Adjusted EBITDA guidance: </w:t>
      </w:r>
      <w:r>
        <w:rPr>
          <w:rFonts w:ascii="Times New Roman" w:cs="Times New Roman" w:eastAsia="Times New Roman" w:hAnsi="Times New Roman"/>
          <w:sz w:val="18"/>
          <w:szCs w:val="18"/>
          <w:color w:val="auto"/>
        </w:rPr>
        <w:t>We are reiterating our revenue guidance and raising Adjusted EBITDA guidance for the full-year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The updated guidance reflects solid performance in Q1’26 as well as continued uncertainty in market conditions. It also underscores the strength of our core marketplace profitability, alongside our continued commitment to maintaining financial discipline while investing in the transformation.</w:t>
      </w:r>
    </w:p>
    <w:p>
      <w:pPr>
        <w:spacing w:after="0" w:line="190"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NEW YORK, April 29, 2026 </w:t>
      </w:r>
      <w:r>
        <w:rPr>
          <w:rFonts w:ascii="Times New Roman" w:cs="Times New Roman" w:eastAsia="Times New Roman" w:hAnsi="Times New Roman"/>
          <w:sz w:val="18"/>
          <w:szCs w:val="18"/>
          <w:color w:val="auto"/>
        </w:rPr>
        <w:t>- Fiverr International Ltd. (NYSE: FVRR), the company that is transforming the way the world creates and works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today reported financial results for the first quarter 2026. Additional operating results and management commentary can be found in the Company’s shareholder letter, which is posted to its investor relations website at </w:t>
      </w:r>
      <w:r>
        <w:rPr>
          <w:rFonts w:ascii="Times New Roman" w:cs="Times New Roman" w:eastAsia="Times New Roman" w:hAnsi="Times New Roman"/>
          <w:sz w:val="18"/>
          <w:szCs w:val="18"/>
          <w:u w:val="single" w:color="auto"/>
          <w:color w:val="auto"/>
        </w:rPr>
        <w:t>investors.fiverr.com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year started with execution reflecting the early momentum of our AI-led transformation. Our multi-year plan is moving into focus as we shift from a transactional marketplace to a sophisticated work platform. We are seeing a healthy flywheel effect in the high-value work on Fiverr, with growth momentum across clients and talent who are engaged in complex projects. With our unique business model and differentiated data assets based on real transactions, we have a strong right to win in this new era of human-in-the-loop collaboration,” said Micha Kaufman, founder and CEO of Fiverr. “I am incredibly proud of our team’s focus as we execute through this transformation and build the future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ind w:right="100"/>
        <w:spacing w:after="0" w:line="271" w:lineRule="auto"/>
        <w:rPr>
          <w:sz w:val="20"/>
          <w:szCs w:val="20"/>
          <w:color w:val="auto"/>
        </w:rPr>
      </w:pPr>
      <w:r>
        <w:rPr>
          <w:rFonts w:ascii="Times New Roman" w:cs="Times New Roman" w:eastAsia="Times New Roman" w:hAnsi="Times New Roman"/>
          <w:sz w:val="18"/>
          <w:szCs w:val="18"/>
          <w:color w:val="auto"/>
        </w:rPr>
        <w:t>"Our performance in the first quarter demonstrates the underlying strength and profitability of our core marketplace. We remain committed to funding our transformation with strict financial discipline, ensuring that our long-term investments are balanced with near-term profitability,” said Esti Levy Dadon, CFO of Fiverr. “2026 is a transformational year at Fiverr. We are seeing early signals that our investments in high-value work and platform capabilities are beginning to take hold, reinforcing our confidence in the path we are executing.”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43" w:lineRule="exact"/>
        <w:rPr>
          <w:sz w:val="20"/>
          <w:szCs w:val="20"/>
          <w:color w:val="auto"/>
        </w:rPr>
      </w:pPr>
    </w:p>
    <w:p>
      <w:pPr>
        <w:ind w:left="920" w:right="140" w:hanging="345"/>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first quarter of 2026 was $105.5 million, compared to $107.2 million in the first quarter of 2025, a decrease of 1.6% year over year.</w:t>
      </w:r>
    </w:p>
    <w:p>
      <w:pPr>
        <w:spacing w:after="0" w:line="161" w:lineRule="exact"/>
        <w:rPr>
          <w:rFonts w:ascii="Times New Roman" w:cs="Times New Roman" w:eastAsia="Times New Roman" w:hAnsi="Times New Roman"/>
          <w:sz w:val="18"/>
          <w:szCs w:val="18"/>
          <w:color w:val="auto"/>
        </w:rPr>
      </w:pPr>
    </w:p>
    <w:p>
      <w:pPr>
        <w:ind w:left="920" w:right="160" w:hanging="345"/>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in the first quarter of 2026 was $67.1 million, compared to $77.7 million in the first quarter of 2025, a decline of 13.6% year over year.</w:t>
      </w:r>
    </w:p>
    <w:p>
      <w:pPr>
        <w:spacing w:after="0" w:line="151" w:lineRule="exact"/>
        <w:rPr>
          <w:rFonts w:ascii="Times New Roman" w:cs="Times New Roman" w:eastAsia="Times New Roman" w:hAnsi="Times New Roman"/>
          <w:sz w:val="18"/>
          <w:szCs w:val="18"/>
          <w:color w:val="auto"/>
        </w:rPr>
      </w:pPr>
    </w:p>
    <w:p>
      <w:pPr>
        <w:ind w:left="920" w:right="320" w:hanging="345"/>
        <w:spacing w:after="0" w:line="210"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active buyers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of March 31, 2026, were 2.9 million, compared to 3.5 million as of March 31, 2025, a decline of 17.8% year over year.</w:t>
      </w:r>
    </w:p>
    <w:p>
      <w:pPr>
        <w:spacing w:after="0" w:line="188"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spend per buyer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of March 31, 2026, reached $356, compared to $309 as of March 31, 2025, an increase of 15.4% year over year.</w:t>
      </w:r>
    </w:p>
    <w:p>
      <w:pPr>
        <w:spacing w:after="0" w:line="112"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take rate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the twelve months period ended March 31, 2026 and 2025 was 27.7%.</w:t>
      </w:r>
    </w:p>
    <w:p>
      <w:pPr>
        <w:spacing w:after="0" w:line="121" w:lineRule="exact"/>
        <w:rPr>
          <w:rFonts w:ascii="Times New Roman" w:cs="Times New Roman" w:eastAsia="Times New Roman" w:hAnsi="Times New Roman"/>
          <w:sz w:val="18"/>
          <w:szCs w:val="18"/>
          <w:color w:val="auto"/>
        </w:rPr>
      </w:pPr>
    </w:p>
    <w:p>
      <w:pPr>
        <w:ind w:left="920" w:right="280" w:hanging="345"/>
        <w:spacing w:after="0" w:line="29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in the first quarter of 2026 was $38.4 million, compared to $29.5 million in the first quarter of 2025, an increase of 30.0% year over year.</w:t>
      </w:r>
    </w:p>
    <w:p>
      <w:pPr>
        <w:spacing w:after="0" w:line="149" w:lineRule="exact"/>
        <w:rPr>
          <w:rFonts w:ascii="Times New Roman" w:cs="Times New Roman" w:eastAsia="Times New Roman" w:hAnsi="Times New Roman"/>
          <w:sz w:val="18"/>
          <w:szCs w:val="18"/>
          <w:color w:val="auto"/>
        </w:rPr>
      </w:pPr>
    </w:p>
    <w:p>
      <w:pPr>
        <w:ind w:left="920" w:hanging="345"/>
        <w:spacing w:after="0" w:line="29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in the first quarter of 2026 was 82.1%, an increase of 110 basis points from 81.0% in the first quarter of 2025. Non-GAAP gross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first quarter of 2026 was 84.8%, an increase of 40 basis points from 84.4% in the first quarter of 2025.</w:t>
      </w:r>
    </w:p>
    <w:p>
      <w:pPr>
        <w:spacing w:after="0" w:line="3" w:lineRule="exact"/>
        <w:rPr>
          <w:rFonts w:ascii="Times New Roman" w:cs="Times New Roman" w:eastAsia="Times New Roman" w:hAnsi="Times New Roman"/>
          <w:sz w:val="18"/>
          <w:szCs w:val="18"/>
          <w:color w:val="auto"/>
        </w:rPr>
      </w:pPr>
    </w:p>
    <w:p>
      <w:pPr>
        <w:ind w:left="920" w:right="280" w:hanging="345"/>
        <w:spacing w:after="0" w:line="29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in the first quarter of 2026 was $8.6 million, or $0.24 basic net income per share and $0.23 diluted net income per share, compared to $0.8 million GAAP net income, or $0.02 basic and diluted net income per share in the first quarter of 2025.</w:t>
      </w:r>
    </w:p>
    <w:p>
      <w:pPr>
        <w:spacing w:after="0" w:line="139" w:lineRule="exact"/>
        <w:rPr>
          <w:rFonts w:ascii="Times New Roman" w:cs="Times New Roman" w:eastAsia="Times New Roman" w:hAnsi="Times New Roman"/>
          <w:sz w:val="18"/>
          <w:szCs w:val="18"/>
          <w:color w:val="auto"/>
        </w:rPr>
      </w:pPr>
    </w:p>
    <w:p>
      <w:pPr>
        <w:ind w:left="920" w:right="20" w:hanging="345"/>
        <w:spacing w:after="0" w:line="204"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first quarter of 2026 was $22.9 million, or $0.64 basic non-GAAP net income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$0.62 diluted non-GAAP net income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compared to $25.0 million 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or $0.70 basic non-GAAP net income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$0.64 diluted non-GAAP net income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in the first quarter of 2025.</w:t>
      </w:r>
    </w:p>
    <w:p>
      <w:pPr>
        <w:spacing w:after="0" w:line="50" w:lineRule="exact"/>
        <w:rPr>
          <w:rFonts w:ascii="Times New Roman" w:cs="Times New Roman" w:eastAsia="Times New Roman" w:hAnsi="Times New Roman"/>
          <w:sz w:val="18"/>
          <w:szCs w:val="18"/>
          <w:color w:val="auto"/>
        </w:rPr>
      </w:pPr>
    </w:p>
    <w:p>
      <w:pPr>
        <w:ind w:left="920" w:right="120" w:hanging="345"/>
        <w:spacing w:after="0" w:line="297"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in the first quarter of 2026 was $21.2 million, compared to $28.3 million in the first quarter of 2025, a decrease of 25.2% year over year.</w:t>
      </w:r>
    </w:p>
    <w:p>
      <w:pPr>
        <w:spacing w:after="0" w:line="139" w:lineRule="exact"/>
        <w:rPr>
          <w:rFonts w:ascii="Times New Roman" w:cs="Times New Roman" w:eastAsia="Times New Roman" w:hAnsi="Times New Roman"/>
          <w:sz w:val="18"/>
          <w:szCs w:val="18"/>
          <w:color w:val="auto"/>
        </w:rPr>
      </w:pPr>
    </w:p>
    <w:p>
      <w:pPr>
        <w:ind w:left="920" w:right="80" w:hanging="345"/>
        <w:spacing w:after="0" w:line="210"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first quarter of 2026 was $21.0 million, compared to $27.4 million in the first quarter of 2025, a decrease of 23.2% year over year.</w:t>
      </w:r>
    </w:p>
    <w:p>
      <w:pPr>
        <w:spacing w:after="0" w:line="188" w:lineRule="exact"/>
        <w:rPr>
          <w:rFonts w:ascii="Times New Roman" w:cs="Times New Roman" w:eastAsia="Times New Roman" w:hAnsi="Times New Roman"/>
          <w:sz w:val="18"/>
          <w:szCs w:val="18"/>
          <w:color w:val="auto"/>
        </w:rPr>
      </w:pPr>
    </w:p>
    <w:p>
      <w:pPr>
        <w:jc w:val="both"/>
        <w:ind w:left="920" w:right="220" w:hanging="345"/>
        <w:spacing w:after="0" w:line="193"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first quarter of 2026 was $22.6 million, compared to $19.4 million in the first quarter of 2025. Adjusted 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was 21.4% in the first quarter of 2026, compared to 18.1% in the first quarter of 2025, representing a 330 basis points improvement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Q2'26 and full-year 2026 guidance reflect the recent trends in our marketplace.</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780" w:type="dxa"/>
            <w:vAlign w:val="bottom"/>
            <w:tcBorders>
              <w:top w:val="single" w:sz="8" w:color="auto"/>
              <w:left w:val="single" w:sz="8" w:color="auto"/>
              <w:right w:val="single" w:sz="8" w:color="auto"/>
            </w:tcBorders>
          </w:tcPr>
          <w:p>
            <w:pPr>
              <w:spacing w:after="0"/>
              <w:rPr>
                <w:sz w:val="23"/>
                <w:szCs w:val="23"/>
                <w:color w:val="auto"/>
              </w:rPr>
            </w:pPr>
          </w:p>
        </w:tc>
        <w:tc>
          <w:tcPr>
            <w:tcW w:w="4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Q2 2026</w:t>
            </w:r>
          </w:p>
        </w:tc>
        <w:tc>
          <w:tcPr>
            <w:tcW w:w="1760" w:type="dxa"/>
            <w:vAlign w:val="bottom"/>
            <w:tcBorders>
              <w:top w:val="single" w:sz="8" w:color="auto"/>
            </w:tcBorders>
          </w:tcPr>
          <w:p>
            <w:pPr>
              <w:spacing w:after="0"/>
              <w:rPr>
                <w:sz w:val="23"/>
                <w:szCs w:val="23"/>
                <w:color w:val="auto"/>
              </w:rPr>
            </w:pPr>
          </w:p>
        </w:tc>
        <w:tc>
          <w:tcPr>
            <w:tcW w:w="2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FY 2026</w:t>
            </w:r>
          </w:p>
        </w:tc>
      </w:tr>
      <w:tr>
        <w:trPr>
          <w:trHeight w:val="48"/>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520" w:type="dxa"/>
            <w:vAlign w:val="bottom"/>
            <w:tcBorders>
              <w:bottom w:val="single" w:sz="8" w:color="auto"/>
              <w:right w:val="single" w:sz="8" w:color="auto"/>
            </w:tcBorders>
          </w:tcPr>
          <w:p>
            <w:pPr>
              <w:spacing w:after="0"/>
              <w:rPr>
                <w:sz w:val="4"/>
                <w:szCs w:val="4"/>
                <w:color w:val="auto"/>
              </w:rPr>
            </w:pPr>
          </w:p>
        </w:tc>
      </w:tr>
      <w:tr>
        <w:trPr>
          <w:trHeight w:val="243"/>
        </w:trPr>
        <w:tc>
          <w:tcPr>
            <w:tcW w:w="2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$95 - $103 million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w:t>
            </w:r>
          </w:p>
        </w:tc>
        <w:tc>
          <w:tcPr>
            <w:tcW w:w="2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$420 million</w:t>
            </w:r>
          </w:p>
        </w:tc>
      </w:tr>
      <w:tr>
        <w:trPr>
          <w:trHeight w:val="47"/>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4200" w:type="dxa"/>
            <w:vAlign w:val="bottom"/>
            <w:tcBorders>
              <w:bottom w:val="single" w:sz="8" w:color="auto"/>
              <w:right w:val="single" w:sz="8" w:color="auto"/>
            </w:tcBorders>
          </w:tcPr>
          <w:p>
            <w:pPr>
              <w:spacing w:after="0"/>
              <w:rPr>
                <w:sz w:val="4"/>
                <w:szCs w:val="4"/>
                <w:color w:val="auto"/>
              </w:rPr>
            </w:pPr>
          </w:p>
        </w:tc>
        <w:tc>
          <w:tcPr>
            <w:tcW w:w="4280" w:type="dxa"/>
            <w:vAlign w:val="bottom"/>
            <w:tcBorders>
              <w:bottom w:val="single" w:sz="8" w:color="auto"/>
              <w:right w:val="single" w:sz="8" w:color="auto"/>
            </w:tcBorders>
            <w:gridSpan w:val="2"/>
          </w:tcPr>
          <w:p>
            <w:pPr>
              <w:spacing w:after="0"/>
              <w:rPr>
                <w:sz w:val="4"/>
                <w:szCs w:val="4"/>
                <w:color w:val="auto"/>
              </w:rPr>
            </w:pPr>
          </w:p>
        </w:tc>
      </w:tr>
      <w:tr>
        <w:trPr>
          <w:trHeight w:val="243"/>
        </w:trPr>
        <w:tc>
          <w:tcPr>
            <w:tcW w:w="278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y/y growth</w:t>
            </w:r>
          </w:p>
        </w:tc>
        <w:tc>
          <w:tcPr>
            <w:tcW w:w="4200" w:type="dxa"/>
            <w:vAlign w:val="bottom"/>
            <w:tcBorders>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(13)% - (5)%</w:t>
            </w:r>
          </w:p>
        </w:tc>
        <w:tc>
          <w:tcPr>
            <w:tcW w:w="4280" w:type="dxa"/>
            <w:vAlign w:val="bottom"/>
            <w:tcBorders>
              <w:right w:val="single" w:sz="8" w:color="auto"/>
            </w:tcBorders>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(12)% - (3)%</w:t>
            </w:r>
          </w:p>
        </w:tc>
      </w:tr>
      <w:tr>
        <w:trPr>
          <w:trHeight w:val="64"/>
        </w:trPr>
        <w:tc>
          <w:tcPr>
            <w:tcW w:w="278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r>
      <w:tr>
        <w:trPr>
          <w:trHeight w:val="274"/>
        </w:trPr>
        <w:tc>
          <w:tcPr>
            <w:tcW w:w="2780" w:type="dxa"/>
            <w:vAlign w:val="bottom"/>
            <w:tcBorders>
              <w:left w:val="single" w:sz="8" w:color="auto"/>
              <w:bottom w:val="single" w:sz="8" w:color="auto"/>
              <w:right w:val="single" w:sz="8" w:color="auto"/>
            </w:tcBorders>
          </w:tcPr>
          <w:p>
            <w:pPr>
              <w:ind w:left="60"/>
              <w:spacing w:after="0" w:line="267"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(1)</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$16 - $20 million</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5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$80 million</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24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 xml:space="preserve">Fiverr’s management will host a conference call to discuss its financial results on Wednesday, April 29, 2026, at 8:30 a.m. Eastern Time. A live webcast of the call can be accessed from Fiverr’s </w:t>
      </w:r>
      <w:r>
        <w:rPr>
          <w:rFonts w:ascii="Times New Roman" w:cs="Times New Roman" w:eastAsia="Times New Roman" w:hAnsi="Times New Roman"/>
          <w:sz w:val="18"/>
          <w:szCs w:val="18"/>
          <w:u w:val="single" w:color="auto"/>
          <w:color w:val="auto"/>
        </w:rPr>
        <w:t>Investor Relations website</w:t>
      </w:r>
      <w:r>
        <w:rPr>
          <w:rFonts w:ascii="Times New Roman" w:cs="Times New Roman" w:eastAsia="Times New Roman" w:hAnsi="Times New Roman"/>
          <w:sz w:val="18"/>
          <w:szCs w:val="18"/>
          <w:color w:val="auto"/>
        </w:rPr>
        <w:t>. An archived version will be available on the website after the call. To participate in the conference call, please dial: Toll-Free: 1-833-630-1956 or International: 1-412-317-1837.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645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6" w:lineRule="exact"/>
        <w:rPr>
          <w:sz w:val="20"/>
          <w:szCs w:val="20"/>
          <w:color w:val="auto"/>
        </w:rPr>
      </w:pPr>
    </w:p>
    <w:p>
      <w:pPr>
        <w:ind w:right="620" w:firstLine="8"/>
        <w:spacing w:after="0" w:line="201"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“Key Performance Metrics and Non-GAAP Financial Measures” and reconciliation tables at the end of this release for additional information regarding the non-GAAP metrics and Key Performance Metrics used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Fiverr</w:t>
      </w: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Fiverr’s mission is to transform the way the world creates and works together. We’re shaping the future of work with the world’s leading open platform, seamlessly connecting top talent and cutting-edge technology with businesses around the globe. From expert freelancers in over 750 skilled categories to best-in-class GenAI models and agents, Fiverr provides the most advanced and comprehensive talent and tools for digital services—helping businesses get mission-critical projects done fast and cost-effectively.</w:t>
      </w:r>
    </w:p>
    <w:p>
      <w:pPr>
        <w:spacing w:after="0" w:line="1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small businesses to Fortune 500 companies, millions trust Fiverr for projects in software and AI development, digital marketing, finance, business consulting, video animation, music, architecture, and more.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Learn how to future-proof your business with exceptional talent and cutting-edge tools at </w:t>
      </w:r>
      <w:r>
        <w:rPr>
          <w:rFonts w:ascii="Times New Roman" w:cs="Times New Roman" w:eastAsia="Times New Roman" w:hAnsi="Times New Roman"/>
          <w:sz w:val="18"/>
          <w:szCs w:val="18"/>
          <w:u w:val="single" w:color="auto"/>
          <w:color w:val="auto"/>
        </w:rPr>
        <w:t>fiverr.com</w:t>
      </w:r>
      <w:r>
        <w:rPr>
          <w:rFonts w:ascii="Times New Roman" w:cs="Times New Roman" w:eastAsia="Times New Roman" w:hAnsi="Times New Roman"/>
          <w:sz w:val="18"/>
          <w:szCs w:val="18"/>
          <w:color w:val="auto"/>
        </w:rPr>
        <w:t xml:space="preserve">.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TikTok,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Jinjin Qian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Greenstein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investors@fiverr.com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Jenny Chang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press@fiverr.com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Fiverr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86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2"/>
                <w:szCs w:val="22"/>
                <w:color w:val="auto"/>
              </w:rPr>
            </w:pPr>
          </w:p>
        </w:tc>
      </w:t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125,215</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117,705</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User funds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159,849</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deposits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deposit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474,674</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3,513</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27,335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26,423</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36,554</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126,313</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220,546</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695,220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684,601</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9,081</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User accounts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149,454</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18,567</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account payables and accrued expenses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68,426</w:t>
            </w:r>
          </w:p>
        </w:tc>
      </w:tr>
      <w:tr>
        <w:trPr>
          <w:trHeight w:val="23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257,264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248,893</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22,926</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274,524</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272,617</w:t>
            </w:r>
          </w:p>
        </w:tc>
      </w:tr>
      <w:tr>
        <w:trPr>
          <w:trHeight w:val="209"/>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and additional paid-in capital</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786,195</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(377,192)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(377,739)</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420,696</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411,984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695,220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684,601</w:t>
            </w:r>
          </w:p>
        </w:tc>
      </w:tr>
      <w:tr>
        <w:trPr>
          <w:trHeight w:val="405"/>
        </w:trPr>
        <w:tc>
          <w:tcPr>
            <w:tcW w:w="86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8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29"/>
        </w:trPr>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107,184</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20,396</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86,658</w:t>
            </w:r>
          </w:p>
        </w:tc>
        <w:tc>
          <w:tcPr>
            <w:tcW w:w="2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86,788</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45,579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20,966</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78,163</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 other, net</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r>
      <w:tr>
        <w:trPr>
          <w:trHeight w:val="229"/>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ordinary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top w:val="single" w:sz="8" w:color="CCEEFF"/>
            </w:tcBorders>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ordinary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ordinary shares</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35,971,243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36,019,143</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ordinary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ordinary shares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36,601,102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37,292,846</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(Uaudited)</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4,284</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of marketable securities, net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 and issuance costs of convertible notes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Shared-based compensation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15,754</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fluctuations and other items, net</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earn-outs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User funds</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and liabilities</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(1,681)</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1,304</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User accounts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12,935</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earn-out</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 payable and accrued expenses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21,176</w:t>
            </w: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(24,424)</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(55,652)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53,332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83,169</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short-term bank deposits</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bank deposits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internal-use software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non-current assets</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w:t>
            </w:r>
          </w:p>
        </w:tc>
        <w:tc>
          <w:tcPr>
            <w:tcW w:w="100" w:type="dxa"/>
            <w:vAlign w:val="bottom"/>
            <w:shd w:val="clear" w:color="auto" w:fill="CCEEFF"/>
          </w:tcPr>
          <w:p>
            <w:pPr>
              <w:spacing w:after="0"/>
              <w:rPr>
                <w:sz w:val="20"/>
                <w:szCs w:val="20"/>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earn-out</w:t>
            </w:r>
          </w:p>
        </w:tc>
        <w:tc>
          <w:tcPr>
            <w:tcW w:w="1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withholding tax related to employees' exercises of share options and RSUs, net</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payment related to business combination</w:t>
            </w:r>
          </w:p>
        </w:tc>
        <w:tc>
          <w:tcPr>
            <w:tcW w:w="12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fluctuations on cash and cash equivalents</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10,626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53,632</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133,472</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135,841</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187,104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BREAKDOWN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9"/>
        </w:trPr>
        <w:tc>
          <w:tcPr>
            <w:tcW w:w="8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6"/>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Marketplace 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77,674</w:t>
            </w:r>
          </w:p>
        </w:tc>
        <w:tc>
          <w:tcPr>
            <w:tcW w:w="16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Active Buyers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3,536</w:t>
            </w: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 Spend per Buyer</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Marketplace Take Rate</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8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Services 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38,357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29,510</w:t>
            </w:r>
          </w:p>
        </w:tc>
      </w:tr>
      <w:tr>
        <w:trPr>
          <w:trHeight w:val="270"/>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105,491</w:t>
            </w:r>
          </w:p>
        </w:tc>
        <w:tc>
          <w:tcPr>
            <w:tcW w:w="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107,184</w:t>
            </w:r>
          </w:p>
        </w:tc>
        <w:tc>
          <w:tcPr>
            <w:tcW w:w="160" w:type="dxa"/>
            <w:vAlign w:val="bottom"/>
            <w:tcBorders>
              <w:bottom w:val="single" w:sz="8" w:color="CCEEFF"/>
            </w:tcBorders>
            <w:shd w:val="clear" w:color="auto" w:fill="CCEEFF"/>
          </w:tcPr>
          <w:p>
            <w:pPr>
              <w:spacing w:after="0"/>
              <w:rPr>
                <w:sz w:val="23"/>
                <w:szCs w:val="23"/>
                <w:color w:val="auto"/>
              </w:rPr>
            </w:pPr>
          </w:p>
        </w:tc>
      </w:tr>
    </w:tbl>
    <w:p>
      <w:pPr>
        <w:spacing w:after="0" w:line="13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Except for Annual Spend per Buyer and Marketplace Take Rate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GROSS PROFIT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gross margin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Q3'25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9"/>
              </w:rPr>
              <w:t>Q4'25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Q1'26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00" w:type="dxa"/>
            <w:vAlign w:val="bottom"/>
          </w:tcPr>
          <w:p>
            <w:pPr>
              <w:spacing w:after="0"/>
              <w:rPr>
                <w:sz w:val="22"/>
                <w:szCs w:val="22"/>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86,788</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88,264</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88,137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88,304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320,915</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351,493</w:t>
            </w: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2,446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Earn-out revaluation,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costs and other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90,419</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91,822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90,883</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90,760</w:t>
            </w: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89,502</w:t>
            </w:r>
          </w:p>
        </w:tc>
        <w:tc>
          <w:tcPr>
            <w:tcW w:w="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330,096</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363,884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1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Non-GAAP 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margin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10120" w:type="dxa"/>
            <w:vAlign w:val="bottom"/>
            <w:gridSpan w:val="33"/>
          </w:tcPr>
          <w:p>
            <w:pPr>
              <w:ind w:left="1160"/>
              <w:spacing w:after="0"/>
              <w:rPr>
                <w:sz w:val="20"/>
                <w:szCs w:val="20"/>
                <w:color w:val="auto"/>
              </w:rPr>
            </w:pPr>
            <w:r>
              <w:rPr>
                <w:rFonts w:ascii="Times New Roman" w:cs="Times New Roman" w:eastAsia="Times New Roman" w:hAnsi="Times New Roman"/>
                <w:sz w:val="18"/>
                <w:szCs w:val="18"/>
                <w:b w:val="1"/>
                <w:bCs w:val="1"/>
                <w:color w:val="auto"/>
                <w:w w:val="99"/>
              </w:rPr>
              <w:t>RECONCILIATION OF GAAP NET INCOME TO NON-GAAP NET INCOME AND NET INCOME PER SHARE</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gridSpan w:val="16"/>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Q3'25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Q4'25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FY 2024</w:t>
            </w: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ordinary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20,983</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234"/>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Share-based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14,055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11,925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9,655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51,389</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Impairment of intangible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34"/>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3"/>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revaluation,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7,854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20,858</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and issuance 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1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related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non-GAAP</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(gain)/loss, net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95,099</w:t>
            </w:r>
          </w:p>
        </w:tc>
        <w:tc>
          <w:tcPr>
            <w:tcW w:w="22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115,098</w:t>
            </w:r>
          </w:p>
        </w:tc>
        <w:tc>
          <w:tcPr>
            <w:tcW w:w="16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number of ordinary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shares - basic</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36,019,143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36,585,998</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36,415,189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36,107,120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35,971,243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36,984,757</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36,281,883</w:t>
            </w:r>
          </w:p>
        </w:tc>
        <w:tc>
          <w:tcPr>
            <w:tcW w:w="0" w:type="dxa"/>
            <w:vAlign w:val="bottom"/>
          </w:tcPr>
          <w:p>
            <w:pPr>
              <w:spacing w:after="0"/>
              <w:rPr>
                <w:sz w:val="1"/>
                <w:szCs w:val="1"/>
                <w:color w:val="auto"/>
              </w:rPr>
            </w:pPr>
          </w:p>
        </w:tc>
      </w:tr>
      <w:tr>
        <w:trPr>
          <w:trHeight w:val="211"/>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basic net</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8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tcBorders>
              <w:lef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3"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attributable to ordinary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ordinary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 diluted</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39,446,707</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39,653,165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39,391,560</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37,387,076</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36,601,102</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39,994,015</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38,969,647</w:t>
            </w:r>
          </w:p>
        </w:tc>
      </w:tr>
      <w:tr>
        <w:trPr>
          <w:trHeight w:val="211"/>
        </w:trPr>
        <w:tc>
          <w:tcPr>
            <w:tcW w:w="1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net</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ordinary</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19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06"/>
        </w:trPr>
        <w:tc>
          <w:tcPr>
            <w:tcW w:w="1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Adjusted EBITDA margin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Q1'25</w:t>
            </w:r>
          </w:p>
        </w:tc>
        <w:tc>
          <w:tcPr>
            <w:tcW w:w="200" w:type="dxa"/>
            <w:vAlign w:val="bottom"/>
          </w:tcPr>
          <w:p>
            <w:pPr>
              <w:spacing w:after="0"/>
              <w:rPr>
                <w:sz w:val="22"/>
                <w:szCs w:val="22"/>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00" w:type="dxa"/>
            <w:vAlign w:val="bottom"/>
          </w:tcPr>
          <w:p>
            <w:pPr>
              <w:spacing w:after="0"/>
              <w:rPr>
                <w:sz w:val="22"/>
                <w:szCs w:val="22"/>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00" w:type="dxa"/>
            <w:vAlign w:val="bottom"/>
          </w:tcPr>
          <w:p>
            <w:pPr>
              <w:spacing w:after="0"/>
              <w:rPr>
                <w:sz w:val="22"/>
                <w:szCs w:val="22"/>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Q4'25</w:t>
            </w:r>
          </w:p>
        </w:tc>
        <w:tc>
          <w:tcPr>
            <w:tcW w:w="200" w:type="dxa"/>
            <w:vAlign w:val="bottom"/>
          </w:tcPr>
          <w:p>
            <w:pPr>
              <w:spacing w:after="0"/>
              <w:rPr>
                <w:sz w:val="22"/>
                <w:szCs w:val="22"/>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Q1'26</w:t>
            </w:r>
          </w:p>
        </w:tc>
        <w:tc>
          <w:tcPr>
            <w:tcW w:w="100" w:type="dxa"/>
            <w:vAlign w:val="bottom"/>
          </w:tcPr>
          <w:p>
            <w:pPr>
              <w:spacing w:after="0"/>
              <w:rPr>
                <w:sz w:val="22"/>
                <w:szCs w:val="22"/>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FY 2024</w:t>
            </w:r>
          </w:p>
        </w:tc>
        <w:tc>
          <w:tcPr>
            <w:tcW w:w="100" w:type="dxa"/>
            <w:vAlign w:val="bottom"/>
          </w:tcPr>
          <w:p>
            <w:pPr>
              <w:spacing w:after="0"/>
              <w:rPr>
                <w:sz w:val="22"/>
                <w:szCs w:val="2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20,983</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(7,325)</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(6,815)</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(3,899)</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(27,706)</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(tax</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(1,658)</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8"/>
                <w:szCs w:val="18"/>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benefit)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4,284</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3,074</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Share-based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15,754</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14,055</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11,925</w:t>
            </w:r>
          </w:p>
        </w:tc>
        <w:tc>
          <w:tcPr>
            <w:tcW w:w="20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9,655</w:t>
            </w:r>
          </w:p>
        </w:tc>
        <w:tc>
          <w:tcPr>
            <w:tcW w:w="200" w:type="dxa"/>
            <w:vAlign w:val="bottom"/>
          </w:tcPr>
          <w:p>
            <w:pPr>
              <w:spacing w:after="0"/>
              <w:rPr>
                <w:sz w:val="18"/>
                <w:szCs w:val="18"/>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18"/>
                <w:szCs w:val="18"/>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73,942</w:t>
            </w:r>
          </w:p>
        </w:tc>
        <w:tc>
          <w:tcPr>
            <w:tcW w:w="10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51,389</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3,567</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revaluation,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other</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7,854</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20,858</w:t>
            </w:r>
          </w:p>
        </w:tc>
        <w:tc>
          <w:tcPr>
            <w:tcW w:w="0" w:type="dxa"/>
            <w:vAlign w:val="bottom"/>
          </w:tcPr>
          <w:p>
            <w:pPr>
              <w:spacing w:after="0"/>
              <w:rPr>
                <w:sz w:val="1"/>
                <w:szCs w:val="1"/>
                <w:color w:val="auto"/>
              </w:rPr>
            </w:pPr>
          </w:p>
        </w:tc>
      </w:tr>
      <w:tr>
        <w:trPr>
          <w:trHeight w:val="34"/>
        </w:trPr>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24,181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74,231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91,586</w:t>
            </w: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7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5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2"/>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tcBorders>
              <w:right w:val="single" w:sz="8" w:color="CCEEFF"/>
            </w:tcBorders>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OPERATING EXPENSES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00" w:type="dxa"/>
            <w:vAlign w:val="bottom"/>
          </w:tcPr>
          <w:p>
            <w:pPr>
              <w:spacing w:after="0"/>
              <w:rPr>
                <w:sz w:val="22"/>
                <w:szCs w:val="22"/>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Q4'25</w:t>
            </w:r>
          </w:p>
        </w:tc>
        <w:tc>
          <w:tcPr>
            <w:tcW w:w="200" w:type="dxa"/>
            <w:vAlign w:val="bottom"/>
          </w:tcPr>
          <w:p>
            <w:pPr>
              <w:spacing w:after="0"/>
              <w:rPr>
                <w:sz w:val="22"/>
                <w:szCs w:val="22"/>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Q1'26</w:t>
            </w:r>
          </w:p>
        </w:tc>
        <w:tc>
          <w:tcPr>
            <w:tcW w:w="100" w:type="dxa"/>
            <w:vAlign w:val="bottom"/>
          </w:tcPr>
          <w:p>
            <w:pPr>
              <w:spacing w:after="0"/>
              <w:rPr>
                <w:sz w:val="22"/>
                <w:szCs w:val="22"/>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FY 2024</w:t>
            </w:r>
          </w:p>
        </w:tc>
        <w:tc>
          <w:tcPr>
            <w:tcW w:w="10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FY 2025</w:t>
            </w:r>
          </w:p>
        </w:tc>
      </w:tr>
      <w:tr>
        <w:trPr>
          <w:trHeight w:val="230"/>
        </w:trPr>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research and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23,627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23,994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17,893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90,664</w:t>
            </w: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3,229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2,333</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14,421</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3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2,258</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research and</w:t>
            </w: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18,567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19,437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15,207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72,701</w:t>
            </w:r>
          </w:p>
        </w:tc>
      </w:tr>
      <w:tr>
        <w:trPr>
          <w:trHeight w:val="210"/>
        </w:trPr>
        <w:tc>
          <w:tcPr>
            <w:tcW w:w="1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GAAP sales and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47,390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44,844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40,669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43,772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171,678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176,675</w:t>
            </w: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1,338</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6,032</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r>
      <w:tr>
        <w:trPr>
          <w:trHeight w:val="204"/>
        </w:trPr>
        <w:tc>
          <w:tcPr>
            <w:tcW w:w="1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Impairment of intangible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r>
      <w:tr>
        <w:trPr>
          <w:trHeight w:val="198"/>
        </w:trPr>
        <w:tc>
          <w:tcPr>
            <w:tcW w:w="1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w:t>
            </w: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Non-GAAP sales and</w:t>
            </w: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43,231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37,190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38,603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160,802</w:t>
            </w:r>
          </w:p>
        </w:tc>
      </w:tr>
      <w:tr>
        <w:trPr>
          <w:trHeight w:val="27"/>
        </w:trPr>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GAAP general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20,966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85,331</w:t>
            </w:r>
          </w:p>
        </w:tc>
      </w:tr>
      <w:tr>
        <w:trPr>
          <w:trHeight w:val="23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6,204</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5,546</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29,706</w:t>
            </w:r>
          </w:p>
        </w:tc>
      </w:tr>
      <w:tr>
        <w:trPr>
          <w:trHeight w:val="204"/>
        </w:trPr>
        <w:tc>
          <w:tcPr>
            <w:tcW w:w="18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Depreciation and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of intangible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198"/>
        </w:trPr>
        <w:tc>
          <w:tcPr>
            <w:tcW w:w="1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Earn-out revaluation,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3,293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4,085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2,432</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6,448</w:t>
            </w:r>
          </w:p>
        </w:tc>
        <w:tc>
          <w:tcPr>
            <w:tcW w:w="200" w:type="dxa"/>
            <w:vAlign w:val="bottom"/>
          </w:tcPr>
          <w:p>
            <w:pPr>
              <w:spacing w:after="0"/>
              <w:rPr>
                <w:sz w:val="17"/>
                <w:szCs w:val="17"/>
                <w:color w:val="auto"/>
              </w:rPr>
            </w:pPr>
          </w:p>
        </w:tc>
        <w:tc>
          <w:tcPr>
            <w:tcW w:w="11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3,697</w:t>
            </w:r>
          </w:p>
        </w:tc>
        <w:tc>
          <w:tcPr>
            <w:tcW w:w="100" w:type="dxa"/>
            <w:vAlign w:val="bottom"/>
          </w:tcPr>
          <w:p>
            <w:pPr>
              <w:spacing w:after="0"/>
              <w:rPr>
                <w:sz w:val="17"/>
                <w:szCs w:val="17"/>
                <w:color w:val="auto"/>
              </w:rPr>
            </w:pPr>
          </w:p>
        </w:tc>
        <w:tc>
          <w:tcPr>
            <w:tcW w:w="11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16,258</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838" w:orient="portrait"/>
          <w:cols w:equalWidth="0" w:num="1">
            <w:col w:w="11240"/>
          </w:cols>
          <w:pgMar w:left="320" w:top="117"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and other</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general and</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4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10,075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38,795</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0020" w:type="dxa"/>
            <w:vAlign w:val="bottom"/>
            <w:gridSpan w:val="21"/>
          </w:tcPr>
          <w:p>
            <w:pPr>
              <w:ind w:left="1720"/>
              <w:spacing w:after="0"/>
              <w:rPr>
                <w:sz w:val="20"/>
                <w:szCs w:val="20"/>
                <w:color w:val="auto"/>
              </w:rPr>
            </w:pPr>
            <w:r>
              <w:rPr>
                <w:rFonts w:ascii="Times New Roman" w:cs="Times New Roman" w:eastAsia="Times New Roman" w:hAnsi="Times New Roman"/>
                <w:sz w:val="18"/>
                <w:szCs w:val="18"/>
                <w:b w:val="1"/>
                <w:bCs w:val="1"/>
                <w:color w:val="auto"/>
              </w:rPr>
              <w:t>RECONCILIATION OF GAAP CASH FROM OPERATING ACTIVITIES TO FREE CASH FLOW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Q1'25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Q2'25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Q3'25</w:t>
            </w:r>
          </w:p>
        </w:tc>
        <w:tc>
          <w:tcPr>
            <w:tcW w:w="2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Q4'25</w:t>
            </w:r>
          </w:p>
        </w:tc>
        <w:tc>
          <w:tcPr>
            <w:tcW w:w="20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Q1'26</w:t>
            </w:r>
          </w:p>
        </w:tc>
        <w:tc>
          <w:tcPr>
            <w:tcW w:w="1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FY 2024</w:t>
            </w:r>
          </w:p>
        </w:tc>
        <w:tc>
          <w:tcPr>
            <w:tcW w:w="100" w:type="dxa"/>
            <w:vAlign w:val="bottom"/>
          </w:tcPr>
          <w:p>
            <w:pPr>
              <w:spacing w:after="0"/>
              <w:rPr>
                <w:sz w:val="24"/>
                <w:szCs w:val="24"/>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FY 2025</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140" w:type="dxa"/>
            <w:vAlign w:val="bottom"/>
            <w:shd w:val="clear" w:color="auto" w:fill="CCEEFF"/>
          </w:tcPr>
          <w:p>
            <w:pPr>
              <w:spacing w:after="0"/>
              <w:rPr>
                <w:sz w:val="18"/>
                <w:szCs w:val="18"/>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25,204</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29,206</w:t>
            </w:r>
          </w:p>
        </w:tc>
        <w:tc>
          <w:tcPr>
            <w:tcW w:w="2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21,870</w:t>
            </w:r>
          </w:p>
        </w:tc>
        <w:tc>
          <w:tcPr>
            <w:tcW w:w="20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83,068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104,589</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w:t>
            </w:r>
          </w:p>
        </w:tc>
        <w:tc>
          <w:tcPr>
            <w:tcW w:w="220" w:type="dxa"/>
            <w:vAlign w:val="bottom"/>
          </w:tcPr>
          <w:p>
            <w:pPr>
              <w:spacing w:after="0"/>
              <w:rPr>
                <w:sz w:val="18"/>
                <w:szCs w:val="18"/>
                <w:color w:val="auto"/>
              </w:rPr>
            </w:pP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8"/>
                <w:szCs w:val="18"/>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w:t>
            </w:r>
          </w:p>
        </w:tc>
        <w:tc>
          <w:tcPr>
            <w:tcW w:w="22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29,129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103,281</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1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Performance Metrics and Non-GAAP Financial Measures</w:t>
      </w:r>
    </w:p>
    <w:p>
      <w:pPr>
        <w:spacing w:after="0" w:line="2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This release includes certain key performance metrics and financial measures not based on GAAP, including Adjusted EBITDA, Adjusted EBITDA margin, non-GAAP gross profit, non-GAAP gross margin, non-GAAP operating expenses, non-GAAP net income (loss), non-GAAP net income (loss) per share, and free cash flow, as well as operating metrics, including marketplace Gross Merchandise Value or GMV, annual active buyers, annual spend per buyer and marketplace take rate. Some amounts in this release may not total due to rounding. All percentages have been calculated using unrounded amounts.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each of our non-GAAP measures of financial performance, as the respective GAAP balances shown in the above tables, adjusted for, as applicable, depreciation and amortization, share-based compensation expenses, contingent consideration revaluation, acquisition related costs and other, income taxes, amortization of discount and issuance costs of convertible note, financial (income) expenses, net and other. Amortization of acquired intangible assets is excluded from the measures, however, the revenue from the acquired companies is included, and their assets actively contribute to revenue generation. Non-GAAP gross profit margin represents non-GAAP gross profit expressed as a percentage of revenue. We define non-GAAP net income (loss) per share as non-GAAP net income (loss) divided by GAAP weighted-average number of ordinary shares basic and diluted. We use free cash flow as a liquidity measure and define it as net cash provided by operating activities less capital expenditures. We define Adjusted EBITDA margin as Adjusted EBITDA expressed as a percentage of revenue.</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GMV or marketplace Gross Merchandise Value as the total value of transactions ordered through our marketplace, excluding value-added tax, goods and services tax, service chargebacks and refunds. Annual active buyers on any given date is defined as buyers who have ordered a Gig on our marketplace within the last 12-month period, irrespective of cancellations. Annual spend per buyer on any given date is calculated by dividing our GMV within the last 12-month period by the number of annual active buyers as of such date. Marketplace take rate for a given period means marketplace revenue for such period divided by GMV for such period. When we refer in this release to the marketplace we refer to transactions conducted between buyers and freelancers on Fiverr.com. When we refer to the platform we refer to the marketplace and our additional services.</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Management and our board of directors use certain metrics as supplemental measures of our performance that are not required by, or presented in accordance with GAAP because they assist us in comparing our operating performance on a consistent basis, as they remove the impact of items not directly resulting from our core operations. We also use these metrics for planning purposes, including the preparation of our internal annual operating budget and financial projections, to evaluate the performance and effectiveness of our strategic initiatives and capital expenditures and to evaluate our capacity to expand our business. In addition, we believe that free cash flow, which we use as a liquidity measure, is useful in evaluating our business because free cash flow reflects the cash surplus available or used to fund the expansion of our business after the payment of capital expenditures relating to the necessary components of ongoing operations. Capital expenditures consist primarily of property and equipment purchases and capitalized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15" w:name="page16"/>
    <w:bookmarkEnd w:id="15"/>
    <w:p>
      <w:pPr>
        <w:spacing w:after="0" w:line="266" w:lineRule="auto"/>
        <w:rPr>
          <w:sz w:val="20"/>
          <w:szCs w:val="20"/>
          <w:color w:val="auto"/>
        </w:rPr>
      </w:pPr>
      <w:r>
        <w:rPr>
          <w:rFonts w:ascii="Times New Roman" w:cs="Times New Roman" w:eastAsia="Times New Roman" w:hAnsi="Times New Roman"/>
          <w:sz w:val="18"/>
          <w:szCs w:val="18"/>
          <w:color w:val="auto"/>
        </w:rPr>
        <w:t>Free cash flow should not be used as an alternative to, or superior to, cash from operating activities. In addition, Adjusted EBITDA, Adjusted EBITDA margin, non-GAAP gross profit, non-GAAP gross margin, non-GAAP operating expenses, non-GAAP net income (loss) and non-GAAP net income (loss) per share as well as operating metrics, including GMV, annual active buyers, annual spend per buyer and marketplace take rate should not be considered in isolation, as an alternative to, or superior to net income (loss), revenue, cash flows or other performance measures derived in accordance with GAAP. These metrics are frequently used by analysts, investors and other interested parties to evaluate companies in our industry. Management believes that the presentation of non-GAAP metrics is an appropriate measure of operating performance because they eliminate the impact of expenses that do not relate directly to the performance of our underlying business.</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non-GAAP metrics should not be construed as an inference that our future results will be unaffected by unusual or other items. Additionally, Adjusted EBITDA and other non-GAAP metrics used herein are not intended to be a measure of free cash flow for management's discretionary use, as they do not reflect our tax payments and certain other cash costs that may recur in the future, including, among other things, cash requirements for costs to replace assets being depreciated and amortized. Management compensates for these limitations by relying on our GAAP results in addition to using Adjusted EBITDA and other non-GAAP metrics as supplemental measures of our performance. Our measures of Adjusted EBITDA, free cash flow and other non-GAAP metrics used herein are not necessarily comparable to similarly titled captions of other companies due to different methods of calculation.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tables above regarding reconciliations of these non-GAAP financial measures to the most directly comparable GAAP measures.</w:t>
      </w:r>
    </w:p>
    <w:p>
      <w:pPr>
        <w:spacing w:after="0" w:line="23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7"/>
          <w:szCs w:val="17"/>
          <w:color w:val="auto"/>
        </w:rPr>
        <w:t>We are not able to provide a reconciliation of Adjusted EBITDA guidance to net income (loss), the nearest comparable GAAP measure, for the second quarter of 2026, or the fiscal year ending December 31, 2026, because certain items that are excluded from Adjusted EBITDA cannot be reasonably predicted or are not in our control. In particular, in the case of Adjusted EBITDA, we are unable to forecast the timing or magnitude of share based compensation, amortization of intangible assets, impairment of intangible assets, income or loss on revaluation of contingent consideration, other acquisition-related costs, convertible notes amortization of discount and issuance costs and exchange rate income or loss, as applicable without unreasonable efforts, and these items could significantly impact, either individually or in the aggregate, GAAP measures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Private Securities Litigation Reform Act of 1995. All statements contained in this release that do not relate to matters of historical fact should be considered forward-looking statements, including, without limitation, statements regarding our expected financial performance and operational performance including, our business plans and strategy, expected business transitions, the long term growth of our business, AI services and developments, future investments and investment strategy, our product portfolio, as well as statements that include the words “expect,” “intend,” “plan,” “believe,” “project,” “forecast,” “estimate,” “may,” “should,” “anticipate” and similar statements of a future or forward-looking nature. 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our recent reduction in force could adversely affect our business, results of operations and financial condition; AI developments may present challenges for our industry and reduce the demand for some of our service offerings; our ability to successfully implement our business plan within adverse economic conditions that may impact consumers, business spending and the demand for our services or have a material adverse impact on our business, financial condition and results of operations; our ability to attract and retain a large community of buyers and freelancers; our ability to generate sufficient revenue to maintain profitability or positive net cash flow generated by operating activities; our ability to maintain and enhance our brand; our dependence on the continued growth and expansion of the market for freelancers and the services they offer; our dependence on traffic to our websites; our ability to maintain user engagement on our websites and to maintain and improve the quality of our platform; our operations within a competitive market; political, economic and military instability in Israel, including related to the war in Israel; our ability and the ability of third parties to protect our users’ personal or other data from a security breach and to comply with laws and regulations relating to data privacy, data protection and cybersecurity; our ability to manage our current and potential future growth; our dependence on decisions and developments in the mobile device industry, over which we do not have control; our ability to detect errors, defects or disruptions in our platform; our ability to comply with the terms of underlying licenses of open source software components on our platform; our ability to expand into markets outside the United States and our ability to manage the business and economic risks of international expansion and operations; our ability to achieve desired operating margins; our ability to comply with a wide variety of U.S. and international laws and regulations, including with regulatory frameworks around the development and use of AI; our ability to attract, recruit, retain and develop qualified employees; our reliance on Amazon Web Services; our ability to mitigate payment and fraud risks; our dependence on relationships with payment partners, banks and disbursement partners; and the other important factors discussed under the caption “Risk Factors” in our annual report on Form 20-F filed with the U.S. Securities and Exchange Commission (“SEC”) on March 12, 2026, as such factors may be updated from time to time in our other filings with the SEC, which are accessible on the SEC’s website at www.sec.gov. In addition,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release are inherently uncertain and may not occur, and actual results could differ materially and adversely from those anticipated or implied in the forward-looking statements. Accordingly, you should not rely upon forward-looking statements as predictions of future events. In addition, the forward-looking statements made in this release relate only to events or information as of the date on which the statements are made in this release.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2026-04-29T05:30:06Z</dcterms:created>
  <dcterms:modified xsi:type="dcterms:W3CDTF">2026-04-29T05:30:06Z</dcterms:modified>
</cp:coreProperties>
</file>