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430936.htm"/>
      <w:bookmarkStart w:id="1" w:name="kszk2430936"/>
      <w:bookmarkStart w:id="2" w:name="zk2430936.htm"/>
      <w:bookmarkStart w:id="3" w:name="kszk2430936"/>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20-F</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00"/>
        <w:gridCol w:w="230"/>
        <w:gridCol w:w="8975"/>
      </w:tblGrid>
      <w:tr>
        <w:trPr/>
        <w:tc>
          <w:tcPr>
            <w:tcW w:w="1000"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(Mark One)</w:t>
            </w:r>
          </w:p>
        </w:tc>
        <w:tc>
          <w:tcPr>
            <w:tcW w:w="230" w:type="dxa"/>
            <w:tcBorders/>
            <w:vAlign w:val="center"/>
          </w:tcPr>
          <w:p>
            <w:pPr>
              <w:pStyle w:val="TableContents"/>
              <w:bidi w:val="0"/>
              <w:spacing w:lineRule="auto" w:line="300" w:before="0" w:after="0"/>
              <w:jc w:val="left"/>
              <w:rPr/>
            </w:pPr>
            <w:r>
              <w:rPr/>
              <w:t>☐</w:t>
            </w:r>
          </w:p>
        </w:tc>
        <w:tc>
          <w:tcPr>
            <w:tcW w:w="8975"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REGISTRATION STATEMENT PURSUANT TO SECTION 12(b) OR SECTION 12(g) OF THE SECURITIES EXCHANGE ACT OF 1934</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lineRule="auto" w:line="300" w:before="0" w:after="0"/>
              <w:jc w:val="center"/>
              <w:rPr>
                <w:rFonts w:ascii="Times New Roman;Times;serif" w:hAnsi="Times New Roman;Times;serif"/>
                <w:b/>
                <w:i/>
              </w:rPr>
            </w:pPr>
            <w:r>
              <w:rPr>
                <w:rFonts w:ascii="Times New Roman;Times;serif" w:hAnsi="Times New Roman;Times;serif"/>
                <w:b/>
                <w:i/>
              </w:rPr>
              <w:t>OR</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300" w:before="0" w:after="0"/>
              <w:jc w:val="left"/>
              <w:rPr/>
            </w:pPr>
            <w:r>
              <w:rPr/>
              <w:t>☒</w:t>
            </w:r>
          </w:p>
        </w:tc>
        <w:tc>
          <w:tcPr>
            <w:tcW w:w="8975"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ANNUAL REPORT PURSUANT TO SECTION 13 OR 15(d) OF THE SECURITIES EXCHANGE ACT OF 1934</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For the fiscal year ended December 31, 2023</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lineRule="auto" w:line="300" w:before="0" w:after="0"/>
              <w:jc w:val="center"/>
              <w:rPr>
                <w:rFonts w:ascii="Times New Roman;Times;serif" w:hAnsi="Times New Roman;Times;serif"/>
                <w:b/>
                <w:i/>
              </w:rPr>
            </w:pPr>
            <w:r>
              <w:rPr>
                <w:rFonts w:ascii="Times New Roman;Times;serif" w:hAnsi="Times New Roman;Times;serif"/>
                <w:b/>
                <w:i/>
              </w:rPr>
              <w:t>OR</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300" w:before="0" w:after="0"/>
              <w:jc w:val="left"/>
              <w:rPr/>
            </w:pPr>
            <w:r>
              <w:rPr/>
              <w:t>☐</w:t>
            </w:r>
          </w:p>
        </w:tc>
        <w:tc>
          <w:tcPr>
            <w:tcW w:w="8975"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TRANSITION REPORT PURSUANT TO SECTION 13 OR 15(d) OF THE SECURITIES EXCHANGE ACT OF 1934</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For the transition period from to</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lineRule="auto" w:line="300" w:before="0" w:after="0"/>
              <w:jc w:val="center"/>
              <w:rPr>
                <w:rFonts w:ascii="Times New Roman;Times;serif" w:hAnsi="Times New Roman;Times;serif"/>
                <w:b/>
                <w:i/>
              </w:rPr>
            </w:pPr>
            <w:r>
              <w:rPr>
                <w:rFonts w:ascii="Times New Roman;Times;serif" w:hAnsi="Times New Roman;Times;serif"/>
                <w:b/>
                <w:i/>
              </w:rPr>
              <w:t>OR</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10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300" w:before="0" w:after="0"/>
              <w:jc w:val="left"/>
              <w:rPr/>
            </w:pPr>
            <w:r>
              <w:rPr/>
              <w:t>☐</w:t>
            </w:r>
          </w:p>
        </w:tc>
        <w:tc>
          <w:tcPr>
            <w:tcW w:w="8975"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SHELL COMPANY REPORT PURSUANT TO SECTION 13 OR 15(d) OF THE SECURITIES EXCHANGE ACT OF 1934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Date of event requiring this shell company report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Commission file number 001-38929</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Fiverr International Ltd.</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State of Israel</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(Jurisdiction of incorporation or organization)</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Fiverr International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8 Eliezer Kaplan St,</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Tel Aviv 6473409, Israel</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Micha Kaufman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Chief Executive Officer</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Telephone: +972-72-2280910</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Email: investors@fiverr.com</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Fiverr International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8 Eliezer Kaplan St,</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Tel Aviv 6473409, Israel</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(Name, Telephone, E-mail and/or Facsimile number and Address of Company Contact Person)</w:t>
      </w:r>
    </w:p>
    <w:p>
      <w:pPr>
        <w:pStyle w:val="TextBody"/>
        <w:bidi w:val="0"/>
        <w:spacing w:lineRule="auto" w:line="300" w:before="0" w:after="0"/>
        <w:jc w:val="left"/>
        <w:rPr/>
      </w:pPr>
      <w:r>
        <w:rPr/>
        <w:t> </w:t>
      </w:r>
    </w:p>
    <w:p>
      <w:pPr>
        <w:pStyle w:val="HorizontalLine"/>
        <w:bidi w:val="0"/>
        <w:spacing w:lineRule="auto" w:line="300" w:before="200" w:after="200"/>
        <w:jc w:val="left"/>
        <w:rPr/>
      </w:pPr>
      <w:r>
        <w:rPr/>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TextBody"/>
        <w:bidi w:val="0"/>
        <w:spacing w:lineRule="auto" w:line="300" w:before="0" w:after="0"/>
        <w:jc w:val="left"/>
        <w:rPr/>
      </w:pPr>
      <w:r>
        <w:rPr/>
        <w:t> </w:t>
      </w:r>
    </w:p>
    <w:tbl>
      <w:tblPr>
        <w:tblW w:w="9465" w:type="dxa"/>
        <w:jc w:val="left"/>
        <w:tblInd w:w="0" w:type="dxa"/>
        <w:tblLayout w:type="fixed"/>
        <w:tblCellMar>
          <w:top w:w="0" w:type="dxa"/>
          <w:left w:w="0" w:type="dxa"/>
          <w:bottom w:w="0" w:type="dxa"/>
          <w:right w:w="0" w:type="dxa"/>
        </w:tblCellMar>
      </w:tblPr>
      <w:tblGrid>
        <w:gridCol w:w="3080"/>
        <w:gridCol w:w="1925"/>
        <w:gridCol w:w="4460"/>
      </w:tblGrid>
      <w:tr>
        <w:trPr/>
        <w:tc>
          <w:tcPr>
            <w:tcW w:w="3080"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Title of each class</w:t>
            </w:r>
          </w:p>
        </w:tc>
        <w:tc>
          <w:tcPr>
            <w:tcW w:w="192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Trading Symbol(s)</w:t>
            </w:r>
          </w:p>
        </w:tc>
        <w:tc>
          <w:tcPr>
            <w:tcW w:w="4460"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3080"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Ordinary shares, no par value</w:t>
            </w:r>
          </w:p>
        </w:tc>
        <w:tc>
          <w:tcPr>
            <w:tcW w:w="192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FVRR</w:t>
            </w:r>
          </w:p>
        </w:tc>
        <w:tc>
          <w:tcPr>
            <w:tcW w:w="4460"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The New York Stock Exchange</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Securities registered or to be registered pursuant to Section 12(g) of the Act: 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Securities for which there is a reporting obligation pursuant to Section 15(d) of the Act: 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the number of outstanding shares of each of the issuer’s classes of capital stock or common stock as of the close of the period covered by the annual report. 38,653,958 ordinary shares.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Note—Checking the box above will not relieve any registrant required to file reports pursuant to Section 13 or 15(d) of the Securities Exchange Act of 1934 from their obligations under those Sections.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lineRule="auto" w:line="300" w:before="0" w:after="0"/>
        <w:jc w:val="left"/>
        <w:rPr/>
      </w:pPr>
      <w:r>
        <w:rPr/>
        <w:t> </w:t>
      </w:r>
    </w:p>
    <w:tbl>
      <w:tblPr>
        <w:tblW w:w="9395" w:type="dxa"/>
        <w:jc w:val="left"/>
        <w:tblInd w:w="0" w:type="dxa"/>
        <w:tblLayout w:type="fixed"/>
        <w:tblCellMar>
          <w:top w:w="0" w:type="dxa"/>
          <w:left w:w="0" w:type="dxa"/>
          <w:bottom w:w="0" w:type="dxa"/>
          <w:right w:w="0" w:type="dxa"/>
        </w:tblCellMar>
      </w:tblPr>
      <w:tblGrid>
        <w:gridCol w:w="2390"/>
        <w:gridCol w:w="1850"/>
        <w:gridCol w:w="2270"/>
        <w:gridCol w:w="2885"/>
      </w:tblGrid>
      <w:tr>
        <w:trPr/>
        <w:tc>
          <w:tcPr>
            <w:tcW w:w="2390"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Large accelerated filer</w:t>
            </w:r>
          </w:p>
        </w:tc>
        <w:tc>
          <w:tcPr>
            <w:tcW w:w="1850"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Accelerated filer</w:t>
            </w:r>
          </w:p>
        </w:tc>
        <w:tc>
          <w:tcPr>
            <w:tcW w:w="2270"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Non-accelerated filer</w:t>
            </w:r>
          </w:p>
        </w:tc>
        <w:tc>
          <w:tcPr>
            <w:tcW w:w="2885"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Emerging growth company</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98"/>
        <w:gridCol w:w="8134"/>
        <w:gridCol w:w="773"/>
      </w:tblGrid>
      <w:tr>
        <w:trPr/>
        <w:tc>
          <w:tcPr>
            <w:tcW w:w="1298"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U.S. GAAP</w:t>
            </w:r>
          </w:p>
        </w:tc>
        <w:tc>
          <w:tcPr>
            <w:tcW w:w="8134"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International Financial Reporting Standards as issued by the International Accounting Standards Board</w:t>
            </w:r>
          </w:p>
        </w:tc>
        <w:tc>
          <w:tcPr>
            <w:tcW w:w="773"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rPr>
              <w:t>Other</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Item 17 ☐ Item 18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b/>
          <w:sz w:val="20"/>
        </w:rPr>
      </w:pPr>
      <w:r>
        <w:rPr>
          <w:b/>
          <w:sz w:val="20"/>
        </w:rPr>
        <w:t>CONTENTS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 w:name="zba02e313adf042e3bc76daac507e7231"/>
      <w:bookmarkStart w:id="5" w:name="zba02e313adf042e3bc76daac507e7231"/>
      <w:bookmarkEnd w:id="5"/>
    </w:p>
    <w:tbl>
      <w:tblPr>
        <w:tblW w:w="9910" w:type="dxa"/>
        <w:jc w:val="left"/>
        <w:tblInd w:w="0" w:type="dxa"/>
        <w:tblLayout w:type="fixed"/>
        <w:tblCellMar>
          <w:top w:w="45" w:type="dxa"/>
          <w:left w:w="45" w:type="dxa"/>
          <w:bottom w:w="45" w:type="dxa"/>
          <w:right w:w="45" w:type="dxa"/>
        </w:tblCellMar>
      </w:tblPr>
      <w:tblGrid>
        <w:gridCol w:w="9305"/>
        <w:gridCol w:w="605"/>
      </w:tblGrid>
      <w:tr>
        <w:trPr/>
        <w:tc>
          <w:tcPr>
            <w:tcW w:w="930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lineRule="auto" w:line="300" w:before="0" w:after="0"/>
              <w:jc w:val="right"/>
              <w:rPr>
                <w:b/>
              </w:rPr>
            </w:pPr>
            <w:r>
              <w:rPr>
                <w:b/>
              </w:rPr>
              <w:t>Page</w:t>
            </w:r>
          </w:p>
        </w:tc>
      </w:tr>
      <w:tr>
        <w:trPr/>
        <w:tc>
          <w:tcPr>
            <w:tcW w:w="9305" w:type="dxa"/>
            <w:tcBorders/>
            <w:vAlign w:val="center"/>
          </w:tcPr>
          <w:p>
            <w:pPr>
              <w:pStyle w:val="TableContents"/>
              <w:bidi w:val="0"/>
              <w:spacing w:lineRule="auto" w:line="300" w:before="0" w:after="0"/>
              <w:jc w:val="left"/>
              <w:rPr/>
            </w:pPr>
            <w:hyperlink w:anchor="ABOUTTHISANNUALREPORT">
              <w:r>
                <w:rPr>
                  <w:rStyle w:val="InternetLink"/>
                  <w:b/>
                </w:rPr>
                <w:t>ABOUT THIS ANNUAL REPORT</w:t>
              </w:r>
            </w:hyperlink>
          </w:p>
        </w:tc>
        <w:tc>
          <w:tcPr>
            <w:tcW w:w="605" w:type="dxa"/>
            <w:tcBorders/>
            <w:vAlign w:val="center"/>
          </w:tcPr>
          <w:p>
            <w:pPr>
              <w:pStyle w:val="TableContents"/>
              <w:bidi w:val="0"/>
              <w:spacing w:before="0" w:after="283"/>
              <w:jc w:val="right"/>
              <w:rPr/>
            </w:pPr>
            <w:r>
              <w:rPr/>
              <w:t xml:space="preserve">4 </w:t>
            </w:r>
          </w:p>
        </w:tc>
      </w:tr>
      <w:tr>
        <w:trPr/>
        <w:tc>
          <w:tcPr>
            <w:tcW w:w="9305" w:type="dxa"/>
            <w:tcBorders/>
            <w:vAlign w:val="center"/>
          </w:tcPr>
          <w:p>
            <w:pPr>
              <w:pStyle w:val="TableContents"/>
              <w:bidi w:val="0"/>
              <w:spacing w:lineRule="auto" w:line="300" w:before="0" w:after="0"/>
              <w:jc w:val="left"/>
              <w:rPr/>
            </w:pPr>
            <w:hyperlink w:anchor="ABOUTTHISANNUALREPORT">
              <w:r>
                <w:rPr>
                  <w:rStyle w:val="InternetLink"/>
                  <w:b/>
                </w:rPr>
                <w:t>PRESENTATION OF FINANCIAL AND OTHER INFORMATION</w:t>
              </w:r>
            </w:hyperlink>
          </w:p>
        </w:tc>
        <w:tc>
          <w:tcPr>
            <w:tcW w:w="605" w:type="dxa"/>
            <w:tcBorders/>
            <w:vAlign w:val="center"/>
          </w:tcPr>
          <w:p>
            <w:pPr>
              <w:pStyle w:val="TableContents"/>
              <w:bidi w:val="0"/>
              <w:spacing w:before="0" w:after="283"/>
              <w:jc w:val="right"/>
              <w:rPr/>
            </w:pPr>
            <w:r>
              <w:rPr/>
              <w:t> </w:t>
            </w:r>
            <w:r>
              <w:rPr/>
              <w:t>4</w:t>
            </w:r>
          </w:p>
        </w:tc>
      </w:tr>
      <w:tr>
        <w:trPr/>
        <w:tc>
          <w:tcPr>
            <w:tcW w:w="9305" w:type="dxa"/>
            <w:tcBorders/>
            <w:vAlign w:val="center"/>
          </w:tcPr>
          <w:p>
            <w:pPr>
              <w:pStyle w:val="TableContents"/>
              <w:bidi w:val="0"/>
              <w:spacing w:lineRule="auto" w:line="300" w:before="0" w:after="0"/>
              <w:jc w:val="left"/>
              <w:rPr/>
            </w:pPr>
            <w:hyperlink w:anchor="CAUTIONARYSTATEMENTREGARD">
              <w:r>
                <w:rPr>
                  <w:rStyle w:val="InternetLink"/>
                  <w:b/>
                </w:rPr>
                <w:t>CAUTIONARY STATEMENT REGARDING FORWARD-LOOKING STATEMENTS</w:t>
              </w:r>
            </w:hyperlink>
          </w:p>
        </w:tc>
        <w:tc>
          <w:tcPr>
            <w:tcW w:w="605" w:type="dxa"/>
            <w:tcBorders/>
            <w:vAlign w:val="center"/>
          </w:tcPr>
          <w:p>
            <w:pPr>
              <w:pStyle w:val="TableContents"/>
              <w:bidi w:val="0"/>
              <w:spacing w:before="0" w:after="283"/>
              <w:jc w:val="right"/>
              <w:rPr/>
            </w:pPr>
            <w:r>
              <w:rPr/>
              <w:t> </w:t>
            </w:r>
            <w:r>
              <w:rPr/>
              <w:t>5</w:t>
            </w:r>
          </w:p>
        </w:tc>
      </w:tr>
      <w:tr>
        <w:trPr/>
        <w:tc>
          <w:tcPr>
            <w:tcW w:w="9305" w:type="dxa"/>
            <w:tcBorders/>
            <w:vAlign w:val="center"/>
          </w:tcPr>
          <w:p>
            <w:pPr>
              <w:pStyle w:val="TableContents"/>
              <w:bidi w:val="0"/>
              <w:spacing w:lineRule="auto" w:line="300" w:before="0" w:after="0"/>
              <w:jc w:val="left"/>
              <w:rPr/>
            </w:pPr>
            <w:hyperlink w:anchor="PARTI">
              <w:r>
                <w:rPr>
                  <w:rStyle w:val="InternetLink"/>
                  <w:b/>
                </w:rPr>
                <w:t>PART I</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PARTI">
              <w:r>
                <w:rPr>
                  <w:rStyle w:val="InternetLink"/>
                  <w:b/>
                </w:rPr>
                <w:t>ITEM 1. IDENTITY OF DIRECTORS, SENIOR MANAGEMENT AND ADVISERS</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PARTI">
              <w:r>
                <w:rPr>
                  <w:rStyle w:val="InternetLink"/>
                  <w:b/>
                </w:rPr>
                <w:t>ITEM 2. OFFER STATISTICS AND EXPECTED TIMETABLE</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PARTI">
              <w:r>
                <w:rPr>
                  <w:rStyle w:val="InternetLink"/>
                  <w:b/>
                </w:rPr>
                <w:t>ITEM 3. KEY INFORMATION</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A.3">
              <w:r>
                <w:rPr>
                  <w:rStyle w:val="InternetLink"/>
                  <w:b/>
                </w:rPr>
                <w:t>A. [Reserved]</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B.3">
              <w:r>
                <w:rPr>
                  <w:rStyle w:val="InternetLink"/>
                  <w:b/>
                </w:rPr>
                <w:t>B. Capitalization and Indebtedness</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C.3">
              <w:r>
                <w:rPr>
                  <w:rStyle w:val="InternetLink"/>
                  <w:b/>
                </w:rPr>
                <w:t>C. Reasons for the Offer and Use of Proceeds</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D.3">
              <w:r>
                <w:rPr>
                  <w:rStyle w:val="InternetLink"/>
                  <w:b/>
                </w:rPr>
                <w:t>D. Risk Factors</w:t>
              </w:r>
            </w:hyperlink>
          </w:p>
        </w:tc>
        <w:tc>
          <w:tcPr>
            <w:tcW w:w="605" w:type="dxa"/>
            <w:tcBorders/>
            <w:vAlign w:val="center"/>
          </w:tcPr>
          <w:p>
            <w:pPr>
              <w:pStyle w:val="TableContents"/>
              <w:bidi w:val="0"/>
              <w:spacing w:before="0" w:after="283"/>
              <w:jc w:val="right"/>
              <w:rPr/>
            </w:pPr>
            <w:r>
              <w:rPr/>
              <w:t> </w:t>
            </w:r>
            <w:r>
              <w:rPr/>
              <w:t>7</w:t>
            </w:r>
          </w:p>
        </w:tc>
      </w:tr>
      <w:tr>
        <w:trPr/>
        <w:tc>
          <w:tcPr>
            <w:tcW w:w="9305" w:type="dxa"/>
            <w:tcBorders/>
            <w:vAlign w:val="center"/>
          </w:tcPr>
          <w:p>
            <w:pPr>
              <w:pStyle w:val="TableContents"/>
              <w:bidi w:val="0"/>
              <w:spacing w:lineRule="auto" w:line="300" w:before="0" w:after="0"/>
              <w:jc w:val="left"/>
              <w:rPr/>
            </w:pPr>
            <w:hyperlink w:anchor="Item4.I">
              <w:r>
                <w:rPr>
                  <w:rStyle w:val="InternetLink"/>
                  <w:b/>
                </w:rPr>
                <w:t>ITEM 4. INFORMATION ON THE COMPANY</w:t>
              </w:r>
            </w:hyperlink>
          </w:p>
        </w:tc>
        <w:tc>
          <w:tcPr>
            <w:tcW w:w="605" w:type="dxa"/>
            <w:tcBorders/>
            <w:vAlign w:val="center"/>
          </w:tcPr>
          <w:p>
            <w:pPr>
              <w:pStyle w:val="TableContents"/>
              <w:bidi w:val="0"/>
              <w:spacing w:before="0" w:after="283"/>
              <w:jc w:val="right"/>
              <w:rPr/>
            </w:pPr>
            <w:r>
              <w:rPr/>
              <w:t> </w:t>
            </w:r>
            <w:r>
              <w:rPr/>
              <w:t>38</w:t>
            </w:r>
          </w:p>
        </w:tc>
      </w:tr>
      <w:tr>
        <w:trPr/>
        <w:tc>
          <w:tcPr>
            <w:tcW w:w="9305" w:type="dxa"/>
            <w:tcBorders/>
            <w:vAlign w:val="center"/>
          </w:tcPr>
          <w:p>
            <w:pPr>
              <w:pStyle w:val="TableContents"/>
              <w:bidi w:val="0"/>
              <w:spacing w:lineRule="auto" w:line="300" w:before="0" w:after="0"/>
              <w:jc w:val="left"/>
              <w:rPr/>
            </w:pPr>
            <w:hyperlink w:anchor="A.4">
              <w:r>
                <w:rPr>
                  <w:rStyle w:val="InternetLink"/>
                  <w:b/>
                </w:rPr>
                <w:t>A. History and Development of the Company</w:t>
              </w:r>
            </w:hyperlink>
          </w:p>
        </w:tc>
        <w:tc>
          <w:tcPr>
            <w:tcW w:w="605" w:type="dxa"/>
            <w:tcBorders/>
            <w:vAlign w:val="center"/>
          </w:tcPr>
          <w:p>
            <w:pPr>
              <w:pStyle w:val="TableContents"/>
              <w:bidi w:val="0"/>
              <w:spacing w:before="0" w:after="283"/>
              <w:jc w:val="right"/>
              <w:rPr/>
            </w:pPr>
            <w:r>
              <w:rPr/>
              <w:t xml:space="preserve">38 </w:t>
            </w:r>
          </w:p>
        </w:tc>
      </w:tr>
      <w:tr>
        <w:trPr/>
        <w:tc>
          <w:tcPr>
            <w:tcW w:w="9305" w:type="dxa"/>
            <w:tcBorders/>
            <w:vAlign w:val="center"/>
          </w:tcPr>
          <w:p>
            <w:pPr>
              <w:pStyle w:val="TableContents"/>
              <w:bidi w:val="0"/>
              <w:spacing w:lineRule="auto" w:line="300" w:before="0" w:after="0"/>
              <w:jc w:val="left"/>
              <w:rPr/>
            </w:pPr>
            <w:hyperlink w:anchor="B.4">
              <w:r>
                <w:rPr>
                  <w:rStyle w:val="InternetLink"/>
                  <w:b/>
                </w:rPr>
                <w:t>B. Business Overview</w:t>
              </w:r>
            </w:hyperlink>
          </w:p>
        </w:tc>
        <w:tc>
          <w:tcPr>
            <w:tcW w:w="605" w:type="dxa"/>
            <w:tcBorders/>
            <w:vAlign w:val="center"/>
          </w:tcPr>
          <w:p>
            <w:pPr>
              <w:pStyle w:val="TableContents"/>
              <w:bidi w:val="0"/>
              <w:spacing w:before="0" w:after="283"/>
              <w:jc w:val="right"/>
              <w:rPr/>
            </w:pPr>
            <w:r>
              <w:rPr/>
              <w:t> </w:t>
            </w:r>
            <w:r>
              <w:rPr/>
              <w:t>38</w:t>
            </w:r>
          </w:p>
        </w:tc>
      </w:tr>
      <w:tr>
        <w:trPr/>
        <w:tc>
          <w:tcPr>
            <w:tcW w:w="9305" w:type="dxa"/>
            <w:tcBorders/>
            <w:vAlign w:val="center"/>
          </w:tcPr>
          <w:p>
            <w:pPr>
              <w:pStyle w:val="TableContents"/>
              <w:bidi w:val="0"/>
              <w:spacing w:lineRule="auto" w:line="300" w:before="0" w:after="0"/>
              <w:jc w:val="left"/>
              <w:rPr/>
            </w:pPr>
            <w:hyperlink w:anchor="C.4">
              <w:r>
                <w:rPr>
                  <w:rStyle w:val="InternetLink"/>
                  <w:b/>
                </w:rPr>
                <w:t>C. Organizational Structure</w:t>
              </w:r>
            </w:hyperlink>
          </w:p>
        </w:tc>
        <w:tc>
          <w:tcPr>
            <w:tcW w:w="605" w:type="dxa"/>
            <w:tcBorders/>
            <w:vAlign w:val="center"/>
          </w:tcPr>
          <w:p>
            <w:pPr>
              <w:pStyle w:val="TableContents"/>
              <w:bidi w:val="0"/>
              <w:spacing w:before="0" w:after="283"/>
              <w:jc w:val="right"/>
              <w:rPr/>
            </w:pPr>
            <w:r>
              <w:rPr/>
              <w:t> </w:t>
            </w:r>
            <w:r>
              <w:rPr/>
              <w:t>54</w:t>
            </w:r>
          </w:p>
        </w:tc>
      </w:tr>
      <w:tr>
        <w:trPr/>
        <w:tc>
          <w:tcPr>
            <w:tcW w:w="9305" w:type="dxa"/>
            <w:tcBorders/>
            <w:vAlign w:val="center"/>
          </w:tcPr>
          <w:p>
            <w:pPr>
              <w:pStyle w:val="TableContents"/>
              <w:bidi w:val="0"/>
              <w:spacing w:lineRule="auto" w:line="300" w:before="0" w:after="0"/>
              <w:jc w:val="left"/>
              <w:rPr/>
            </w:pPr>
            <w:hyperlink w:anchor="D.4">
              <w:r>
                <w:rPr>
                  <w:rStyle w:val="InternetLink"/>
                  <w:b/>
                </w:rPr>
                <w:t>D. Property, Plant and Equipment</w:t>
              </w:r>
            </w:hyperlink>
          </w:p>
        </w:tc>
        <w:tc>
          <w:tcPr>
            <w:tcW w:w="605" w:type="dxa"/>
            <w:tcBorders/>
            <w:vAlign w:val="center"/>
          </w:tcPr>
          <w:p>
            <w:pPr>
              <w:pStyle w:val="TableContents"/>
              <w:bidi w:val="0"/>
              <w:spacing w:before="0" w:after="283"/>
              <w:jc w:val="right"/>
              <w:rPr/>
            </w:pPr>
            <w:r>
              <w:rPr/>
              <w:t> </w:t>
            </w:r>
            <w:r>
              <w:rPr/>
              <w:t>54</w:t>
            </w:r>
          </w:p>
        </w:tc>
      </w:tr>
      <w:tr>
        <w:trPr/>
        <w:tc>
          <w:tcPr>
            <w:tcW w:w="9305" w:type="dxa"/>
            <w:tcBorders/>
            <w:vAlign w:val="center"/>
          </w:tcPr>
          <w:p>
            <w:pPr>
              <w:pStyle w:val="TableContents"/>
              <w:bidi w:val="0"/>
              <w:spacing w:lineRule="auto" w:line="300" w:before="0" w:after="0"/>
              <w:jc w:val="left"/>
              <w:rPr/>
            </w:pPr>
            <w:hyperlink w:anchor="Item4A.">
              <w:r>
                <w:rPr>
                  <w:rStyle w:val="InternetLink"/>
                  <w:b/>
                </w:rPr>
                <w:t>ITEM 4A. UNRESOLVED STAFF COMMENTS</w:t>
              </w:r>
            </w:hyperlink>
          </w:p>
        </w:tc>
        <w:tc>
          <w:tcPr>
            <w:tcW w:w="605" w:type="dxa"/>
            <w:tcBorders/>
            <w:vAlign w:val="center"/>
          </w:tcPr>
          <w:p>
            <w:pPr>
              <w:pStyle w:val="TableContents"/>
              <w:bidi w:val="0"/>
              <w:spacing w:before="0" w:after="283"/>
              <w:jc w:val="right"/>
              <w:rPr/>
            </w:pPr>
            <w:r>
              <w:rPr/>
              <w:t> </w:t>
            </w:r>
            <w:r>
              <w:rPr/>
              <w:t>55</w:t>
            </w:r>
          </w:p>
        </w:tc>
      </w:tr>
      <w:tr>
        <w:trPr/>
        <w:tc>
          <w:tcPr>
            <w:tcW w:w="9305" w:type="dxa"/>
            <w:tcBorders/>
            <w:vAlign w:val="center"/>
          </w:tcPr>
          <w:p>
            <w:pPr>
              <w:pStyle w:val="TableContents"/>
              <w:bidi w:val="0"/>
              <w:spacing w:lineRule="auto" w:line="300" w:before="0" w:after="0"/>
              <w:jc w:val="left"/>
              <w:rPr/>
            </w:pPr>
            <w:hyperlink w:anchor="Item4A.">
              <w:r>
                <w:rPr>
                  <w:rStyle w:val="InternetLink"/>
                  <w:b/>
                </w:rPr>
                <w:t>ITEM 5. OPERATING AND FINANCIAL REVIEW AND PROSPECTS</w:t>
              </w:r>
            </w:hyperlink>
          </w:p>
        </w:tc>
        <w:tc>
          <w:tcPr>
            <w:tcW w:w="605" w:type="dxa"/>
            <w:tcBorders/>
            <w:vAlign w:val="center"/>
          </w:tcPr>
          <w:p>
            <w:pPr>
              <w:pStyle w:val="TableContents"/>
              <w:bidi w:val="0"/>
              <w:spacing w:before="0" w:after="283"/>
              <w:jc w:val="right"/>
              <w:rPr/>
            </w:pPr>
            <w:r>
              <w:rPr/>
              <w:t> </w:t>
            </w:r>
            <w:r>
              <w:rPr/>
              <w:t>55</w:t>
            </w:r>
          </w:p>
        </w:tc>
      </w:tr>
      <w:tr>
        <w:trPr/>
        <w:tc>
          <w:tcPr>
            <w:tcW w:w="9305" w:type="dxa"/>
            <w:tcBorders/>
            <w:vAlign w:val="center"/>
          </w:tcPr>
          <w:p>
            <w:pPr>
              <w:pStyle w:val="TableContents"/>
              <w:bidi w:val="0"/>
              <w:spacing w:lineRule="auto" w:line="300" w:before="0" w:after="0"/>
              <w:jc w:val="left"/>
              <w:rPr/>
            </w:pPr>
            <w:hyperlink w:anchor="A.5">
              <w:r>
                <w:rPr>
                  <w:rStyle w:val="InternetLink"/>
                  <w:b/>
                </w:rPr>
                <w:t>A. Operating Results</w:t>
              </w:r>
            </w:hyperlink>
          </w:p>
        </w:tc>
        <w:tc>
          <w:tcPr>
            <w:tcW w:w="605" w:type="dxa"/>
            <w:tcBorders/>
            <w:vAlign w:val="center"/>
          </w:tcPr>
          <w:p>
            <w:pPr>
              <w:pStyle w:val="TableContents"/>
              <w:bidi w:val="0"/>
              <w:spacing w:before="0" w:after="283"/>
              <w:jc w:val="right"/>
              <w:rPr/>
            </w:pPr>
            <w:r>
              <w:rPr/>
              <w:t> </w:t>
            </w:r>
            <w:r>
              <w:rPr/>
              <w:t>60</w:t>
            </w:r>
          </w:p>
        </w:tc>
      </w:tr>
      <w:tr>
        <w:trPr/>
        <w:tc>
          <w:tcPr>
            <w:tcW w:w="9305" w:type="dxa"/>
            <w:tcBorders/>
            <w:vAlign w:val="center"/>
          </w:tcPr>
          <w:p>
            <w:pPr>
              <w:pStyle w:val="TableContents"/>
              <w:bidi w:val="0"/>
              <w:spacing w:lineRule="auto" w:line="300" w:before="0" w:after="0"/>
              <w:jc w:val="left"/>
              <w:rPr/>
            </w:pPr>
            <w:hyperlink w:anchor="B.5">
              <w:r>
                <w:rPr>
                  <w:rStyle w:val="InternetLink"/>
                  <w:b/>
                </w:rPr>
                <w:t>B. Liquidity and Capital Resources</w:t>
              </w:r>
            </w:hyperlink>
          </w:p>
        </w:tc>
        <w:tc>
          <w:tcPr>
            <w:tcW w:w="605" w:type="dxa"/>
            <w:tcBorders/>
            <w:vAlign w:val="center"/>
          </w:tcPr>
          <w:p>
            <w:pPr>
              <w:pStyle w:val="TableContents"/>
              <w:bidi w:val="0"/>
              <w:spacing w:before="0" w:after="283"/>
              <w:jc w:val="right"/>
              <w:rPr/>
            </w:pPr>
            <w:r>
              <w:rPr/>
              <w:t> </w:t>
            </w:r>
            <w:r>
              <w:rPr/>
              <w:t>61</w:t>
            </w:r>
          </w:p>
        </w:tc>
      </w:tr>
      <w:tr>
        <w:trPr/>
        <w:tc>
          <w:tcPr>
            <w:tcW w:w="9305" w:type="dxa"/>
            <w:tcBorders/>
            <w:vAlign w:val="center"/>
          </w:tcPr>
          <w:p>
            <w:pPr>
              <w:pStyle w:val="TableContents"/>
              <w:bidi w:val="0"/>
              <w:spacing w:lineRule="auto" w:line="300" w:before="0" w:after="0"/>
              <w:jc w:val="left"/>
              <w:rPr/>
            </w:pPr>
            <w:hyperlink w:anchor="C.5">
              <w:r>
                <w:rPr>
                  <w:rStyle w:val="InternetLink"/>
                  <w:b/>
                </w:rPr>
                <w:t>C. Research and Development, Patents and Licenses, etc.</w:t>
              </w:r>
            </w:hyperlink>
          </w:p>
        </w:tc>
        <w:tc>
          <w:tcPr>
            <w:tcW w:w="605" w:type="dxa"/>
            <w:tcBorders/>
            <w:vAlign w:val="center"/>
          </w:tcPr>
          <w:p>
            <w:pPr>
              <w:pStyle w:val="TableContents"/>
              <w:bidi w:val="0"/>
              <w:spacing w:before="0" w:after="283"/>
              <w:jc w:val="right"/>
              <w:rPr/>
            </w:pPr>
            <w:r>
              <w:rPr/>
              <w:t> </w:t>
            </w:r>
            <w:r>
              <w:rPr/>
              <w:t>64</w:t>
            </w:r>
          </w:p>
        </w:tc>
      </w:tr>
      <w:tr>
        <w:trPr/>
        <w:tc>
          <w:tcPr>
            <w:tcW w:w="9305" w:type="dxa"/>
            <w:tcBorders/>
            <w:vAlign w:val="center"/>
          </w:tcPr>
          <w:p>
            <w:pPr>
              <w:pStyle w:val="TableContents"/>
              <w:bidi w:val="0"/>
              <w:spacing w:lineRule="auto" w:line="300" w:before="0" w:after="0"/>
              <w:jc w:val="left"/>
              <w:rPr/>
            </w:pPr>
            <w:hyperlink w:anchor="D.5">
              <w:r>
                <w:rPr>
                  <w:rStyle w:val="InternetLink"/>
                  <w:b/>
                </w:rPr>
                <w:t>D. Trend Information</w:t>
              </w:r>
            </w:hyperlink>
          </w:p>
        </w:tc>
        <w:tc>
          <w:tcPr>
            <w:tcW w:w="605" w:type="dxa"/>
            <w:tcBorders/>
            <w:vAlign w:val="center"/>
          </w:tcPr>
          <w:p>
            <w:pPr>
              <w:pStyle w:val="TableContents"/>
              <w:bidi w:val="0"/>
              <w:spacing w:before="0" w:after="283"/>
              <w:jc w:val="right"/>
              <w:rPr/>
            </w:pPr>
            <w:r>
              <w:rPr/>
              <w:t> </w:t>
            </w:r>
            <w:r>
              <w:rPr/>
              <w:t>64</w:t>
            </w:r>
          </w:p>
        </w:tc>
      </w:tr>
      <w:tr>
        <w:trPr/>
        <w:tc>
          <w:tcPr>
            <w:tcW w:w="9305" w:type="dxa"/>
            <w:tcBorders/>
            <w:vAlign w:val="center"/>
          </w:tcPr>
          <w:p>
            <w:pPr>
              <w:pStyle w:val="TableContents"/>
              <w:bidi w:val="0"/>
              <w:spacing w:lineRule="auto" w:line="300" w:before="0" w:after="0"/>
              <w:jc w:val="left"/>
              <w:rPr/>
            </w:pPr>
            <w:hyperlink w:anchor="E.5">
              <w:r>
                <w:rPr>
                  <w:rStyle w:val="InternetLink"/>
                  <w:b/>
                </w:rPr>
                <w:t>E. Critical Accounting Estimates</w:t>
              </w:r>
            </w:hyperlink>
          </w:p>
        </w:tc>
        <w:tc>
          <w:tcPr>
            <w:tcW w:w="605" w:type="dxa"/>
            <w:tcBorders/>
            <w:vAlign w:val="center"/>
          </w:tcPr>
          <w:p>
            <w:pPr>
              <w:pStyle w:val="TableContents"/>
              <w:bidi w:val="0"/>
              <w:spacing w:before="0" w:after="283"/>
              <w:jc w:val="right"/>
              <w:rPr/>
            </w:pPr>
            <w:r>
              <w:rPr/>
              <w:t> </w:t>
            </w:r>
            <w:r>
              <w:rPr/>
              <w:t>64</w:t>
            </w:r>
          </w:p>
        </w:tc>
      </w:tr>
      <w:tr>
        <w:trPr/>
        <w:tc>
          <w:tcPr>
            <w:tcW w:w="9305" w:type="dxa"/>
            <w:tcBorders/>
            <w:vAlign w:val="center"/>
          </w:tcPr>
          <w:p>
            <w:pPr>
              <w:pStyle w:val="TableContents"/>
              <w:bidi w:val="0"/>
              <w:spacing w:lineRule="auto" w:line="300" w:before="0" w:after="0"/>
              <w:jc w:val="left"/>
              <w:rPr/>
            </w:pPr>
            <w:hyperlink w:anchor="Item6.">
              <w:r>
                <w:rPr>
                  <w:rStyle w:val="InternetLink"/>
                  <w:b/>
                </w:rPr>
                <w:t>ITEM 6. DIRECTORS, SENIOR MANAGEMENT AND EMPLOYEES</w:t>
              </w:r>
            </w:hyperlink>
          </w:p>
        </w:tc>
        <w:tc>
          <w:tcPr>
            <w:tcW w:w="605" w:type="dxa"/>
            <w:tcBorders/>
            <w:vAlign w:val="center"/>
          </w:tcPr>
          <w:p>
            <w:pPr>
              <w:pStyle w:val="TableContents"/>
              <w:bidi w:val="0"/>
              <w:spacing w:before="0" w:after="283"/>
              <w:jc w:val="right"/>
              <w:rPr/>
            </w:pPr>
            <w:r>
              <w:rPr/>
              <w:t> </w:t>
            </w:r>
            <w:r>
              <w:rPr/>
              <w:t>67</w:t>
            </w:r>
          </w:p>
        </w:tc>
      </w:tr>
      <w:tr>
        <w:trPr/>
        <w:tc>
          <w:tcPr>
            <w:tcW w:w="9305" w:type="dxa"/>
            <w:tcBorders/>
            <w:vAlign w:val="center"/>
          </w:tcPr>
          <w:p>
            <w:pPr>
              <w:pStyle w:val="TableContents"/>
              <w:bidi w:val="0"/>
              <w:spacing w:lineRule="auto" w:line="300" w:before="0" w:after="0"/>
              <w:jc w:val="left"/>
              <w:rPr/>
            </w:pPr>
            <w:hyperlink w:anchor="A.6">
              <w:r>
                <w:rPr>
                  <w:rStyle w:val="InternetLink"/>
                  <w:b/>
                </w:rPr>
                <w:t>A. Directors and Senior Management</w:t>
              </w:r>
            </w:hyperlink>
          </w:p>
        </w:tc>
        <w:tc>
          <w:tcPr>
            <w:tcW w:w="605" w:type="dxa"/>
            <w:tcBorders/>
            <w:vAlign w:val="center"/>
          </w:tcPr>
          <w:p>
            <w:pPr>
              <w:pStyle w:val="TableContents"/>
              <w:bidi w:val="0"/>
              <w:spacing w:before="0" w:after="283"/>
              <w:jc w:val="right"/>
              <w:rPr/>
            </w:pPr>
            <w:r>
              <w:rPr/>
              <w:t> </w:t>
            </w:r>
            <w:r>
              <w:rPr/>
              <w:t>67</w:t>
            </w:r>
          </w:p>
        </w:tc>
      </w:tr>
      <w:tr>
        <w:trPr/>
        <w:tc>
          <w:tcPr>
            <w:tcW w:w="9305" w:type="dxa"/>
            <w:tcBorders/>
            <w:vAlign w:val="center"/>
          </w:tcPr>
          <w:p>
            <w:pPr>
              <w:pStyle w:val="TableContents"/>
              <w:bidi w:val="0"/>
              <w:spacing w:lineRule="auto" w:line="300" w:before="0" w:after="0"/>
              <w:jc w:val="left"/>
              <w:rPr/>
            </w:pPr>
            <w:hyperlink w:anchor="B.6">
              <w:r>
                <w:rPr>
                  <w:rStyle w:val="InternetLink"/>
                  <w:b/>
                </w:rPr>
                <w:t>B. Compensation</w:t>
              </w:r>
            </w:hyperlink>
          </w:p>
        </w:tc>
        <w:tc>
          <w:tcPr>
            <w:tcW w:w="605" w:type="dxa"/>
            <w:tcBorders/>
            <w:vAlign w:val="center"/>
          </w:tcPr>
          <w:p>
            <w:pPr>
              <w:pStyle w:val="TableContents"/>
              <w:bidi w:val="0"/>
              <w:spacing w:before="0" w:after="283"/>
              <w:jc w:val="right"/>
              <w:rPr/>
            </w:pPr>
            <w:r>
              <w:rPr/>
              <w:t> </w:t>
            </w:r>
            <w:r>
              <w:rPr/>
              <w:t>69</w:t>
            </w:r>
          </w:p>
        </w:tc>
      </w:tr>
      <w:tr>
        <w:trPr/>
        <w:tc>
          <w:tcPr>
            <w:tcW w:w="9305" w:type="dxa"/>
            <w:tcBorders/>
            <w:vAlign w:val="center"/>
          </w:tcPr>
          <w:p>
            <w:pPr>
              <w:pStyle w:val="TableContents"/>
              <w:bidi w:val="0"/>
              <w:spacing w:lineRule="auto" w:line="300" w:before="0" w:after="0"/>
              <w:jc w:val="left"/>
              <w:rPr/>
            </w:pPr>
            <w:hyperlink w:anchor="C.6">
              <w:r>
                <w:rPr>
                  <w:rStyle w:val="InternetLink"/>
                  <w:b/>
                </w:rPr>
                <w:t>C. Board Practices</w:t>
              </w:r>
            </w:hyperlink>
          </w:p>
        </w:tc>
        <w:tc>
          <w:tcPr>
            <w:tcW w:w="605" w:type="dxa"/>
            <w:tcBorders/>
            <w:vAlign w:val="center"/>
          </w:tcPr>
          <w:p>
            <w:pPr>
              <w:pStyle w:val="TableContents"/>
              <w:bidi w:val="0"/>
              <w:spacing w:before="0" w:after="283"/>
              <w:jc w:val="right"/>
              <w:rPr/>
            </w:pPr>
            <w:r>
              <w:rPr/>
              <w:t> </w:t>
            </w:r>
            <w:r>
              <w:rPr/>
              <w:t>73</w:t>
            </w:r>
          </w:p>
        </w:tc>
      </w:tr>
      <w:tr>
        <w:trPr/>
        <w:tc>
          <w:tcPr>
            <w:tcW w:w="9305" w:type="dxa"/>
            <w:tcBorders/>
            <w:vAlign w:val="center"/>
          </w:tcPr>
          <w:p>
            <w:pPr>
              <w:pStyle w:val="TableContents"/>
              <w:bidi w:val="0"/>
              <w:spacing w:lineRule="auto" w:line="300" w:before="0" w:after="0"/>
              <w:jc w:val="left"/>
              <w:rPr/>
            </w:pPr>
            <w:hyperlink w:anchor="D.6">
              <w:r>
                <w:rPr>
                  <w:rStyle w:val="InternetLink"/>
                  <w:b/>
                </w:rPr>
                <w:t>D. Employees</w:t>
              </w:r>
            </w:hyperlink>
          </w:p>
        </w:tc>
        <w:tc>
          <w:tcPr>
            <w:tcW w:w="605" w:type="dxa"/>
            <w:tcBorders/>
            <w:vAlign w:val="center"/>
          </w:tcPr>
          <w:p>
            <w:pPr>
              <w:pStyle w:val="TableContents"/>
              <w:bidi w:val="0"/>
              <w:spacing w:before="0" w:after="283"/>
              <w:jc w:val="right"/>
              <w:rPr/>
            </w:pPr>
            <w:r>
              <w:rPr/>
              <w:t> </w:t>
            </w:r>
            <w:r>
              <w:rPr/>
              <w:t>83</w:t>
            </w:r>
          </w:p>
        </w:tc>
      </w:tr>
      <w:tr>
        <w:trPr/>
        <w:tc>
          <w:tcPr>
            <w:tcW w:w="9305" w:type="dxa"/>
            <w:tcBorders/>
            <w:vAlign w:val="center"/>
          </w:tcPr>
          <w:p>
            <w:pPr>
              <w:pStyle w:val="TableContents"/>
              <w:bidi w:val="0"/>
              <w:spacing w:lineRule="auto" w:line="300" w:before="0" w:after="0"/>
              <w:jc w:val="left"/>
              <w:rPr/>
            </w:pPr>
            <w:hyperlink w:anchor="E.6">
              <w:r>
                <w:rPr>
                  <w:rStyle w:val="InternetLink"/>
                  <w:b/>
                </w:rPr>
                <w:t>E. Share Ownership</w:t>
              </w:r>
            </w:hyperlink>
          </w:p>
        </w:tc>
        <w:tc>
          <w:tcPr>
            <w:tcW w:w="605" w:type="dxa"/>
            <w:tcBorders/>
            <w:vAlign w:val="center"/>
          </w:tcPr>
          <w:p>
            <w:pPr>
              <w:pStyle w:val="TableContents"/>
              <w:bidi w:val="0"/>
              <w:spacing w:before="0" w:after="283"/>
              <w:jc w:val="right"/>
              <w:rPr/>
            </w:pPr>
            <w:r>
              <w:rPr/>
              <w:t> </w:t>
            </w:r>
            <w:r>
              <w:rPr/>
              <w:t>84</w:t>
            </w:r>
          </w:p>
        </w:tc>
      </w:tr>
      <w:tr>
        <w:trPr/>
        <w:tc>
          <w:tcPr>
            <w:tcW w:w="9305" w:type="dxa"/>
            <w:tcBorders/>
            <w:vAlign w:val="center"/>
          </w:tcPr>
          <w:p>
            <w:pPr>
              <w:pStyle w:val="TableContents"/>
              <w:bidi w:val="0"/>
              <w:spacing w:lineRule="auto" w:line="300" w:before="0" w:after="0"/>
              <w:jc w:val="left"/>
              <w:rPr/>
            </w:pPr>
            <w:hyperlink w:anchor="F.6">
              <w:r>
                <w:rPr>
                  <w:rStyle w:val="InternetLink"/>
                  <w:b/>
                </w:rPr>
                <w:t>F. Disclosure of a Registrant’s Action to Recover Erroneously Awarded Compensation</w:t>
              </w:r>
            </w:hyperlink>
          </w:p>
        </w:tc>
        <w:tc>
          <w:tcPr>
            <w:tcW w:w="605" w:type="dxa"/>
            <w:tcBorders/>
            <w:vAlign w:val="center"/>
          </w:tcPr>
          <w:p>
            <w:pPr>
              <w:pStyle w:val="TableContents"/>
              <w:bidi w:val="0"/>
              <w:spacing w:before="0" w:after="283"/>
              <w:jc w:val="right"/>
              <w:rPr/>
            </w:pPr>
            <w:r>
              <w:rPr/>
              <w:t> </w:t>
            </w:r>
            <w:r>
              <w:rPr/>
              <w:t>84</w:t>
            </w:r>
          </w:p>
        </w:tc>
      </w:tr>
    </w:tbl>
    <w:p>
      <w:pPr>
        <w:pStyle w:val="TextBody"/>
        <w:bidi w:val="0"/>
        <w:spacing w:before="0" w:after="0"/>
        <w:jc w:val="left"/>
        <w:rPr/>
      </w:pPr>
      <w:r>
        <w:rPr/>
      </w:r>
    </w:p>
    <w:p>
      <w:pPr>
        <w:pStyle w:val="HorizontalLine"/>
        <w:bidi w:val="0"/>
        <w:spacing w:before="200" w:after="200"/>
        <w:jc w:val="left"/>
        <w:rPr/>
      </w:pPr>
      <w:r>
        <w:rPr/>
      </w:r>
    </w:p>
    <w:tbl>
      <w:tblPr>
        <w:tblW w:w="9220" w:type="dxa"/>
        <w:jc w:val="left"/>
        <w:tblInd w:w="0" w:type="dxa"/>
        <w:tblLayout w:type="fixed"/>
        <w:tblCellMar>
          <w:top w:w="45" w:type="dxa"/>
          <w:left w:w="45" w:type="dxa"/>
          <w:bottom w:w="45" w:type="dxa"/>
          <w:right w:w="45" w:type="dxa"/>
        </w:tblCellMar>
      </w:tblPr>
      <w:tblGrid>
        <w:gridCol w:w="8810"/>
        <w:gridCol w:w="410"/>
      </w:tblGrid>
      <w:tr>
        <w:trPr/>
        <w:tc>
          <w:tcPr>
            <w:tcW w:w="8810" w:type="dxa"/>
            <w:tcBorders/>
            <w:vAlign w:val="center"/>
          </w:tcPr>
          <w:p>
            <w:pPr>
              <w:pStyle w:val="TableContents"/>
              <w:bidi w:val="0"/>
              <w:spacing w:lineRule="auto" w:line="300" w:before="0" w:after="0"/>
              <w:jc w:val="left"/>
              <w:rPr/>
            </w:pPr>
            <w:hyperlink w:anchor="Item7.">
              <w:r>
                <w:rPr>
                  <w:rStyle w:val="InternetLink"/>
                  <w:b/>
                </w:rPr>
                <w:t>ITEM 7. MAJOR SHAREHOLDERS AND RELATED PARTY TRANSACTIONS</w:t>
              </w:r>
            </w:hyperlink>
          </w:p>
        </w:tc>
        <w:tc>
          <w:tcPr>
            <w:tcW w:w="410" w:type="dxa"/>
            <w:tcBorders/>
            <w:vAlign w:val="center"/>
          </w:tcPr>
          <w:p>
            <w:pPr>
              <w:pStyle w:val="TableContents"/>
              <w:bidi w:val="0"/>
              <w:spacing w:before="0" w:after="283"/>
              <w:jc w:val="right"/>
              <w:rPr/>
            </w:pPr>
            <w:r>
              <w:rPr/>
              <w:t xml:space="preserve">84 </w:t>
            </w:r>
          </w:p>
        </w:tc>
      </w:tr>
      <w:tr>
        <w:trPr/>
        <w:tc>
          <w:tcPr>
            <w:tcW w:w="8810" w:type="dxa"/>
            <w:tcBorders/>
            <w:vAlign w:val="center"/>
          </w:tcPr>
          <w:p>
            <w:pPr>
              <w:pStyle w:val="TableContents"/>
              <w:bidi w:val="0"/>
              <w:spacing w:lineRule="auto" w:line="300" w:before="0" w:after="0"/>
              <w:jc w:val="left"/>
              <w:rPr/>
            </w:pPr>
            <w:hyperlink w:anchor="A.7">
              <w:r>
                <w:rPr>
                  <w:rStyle w:val="InternetLink"/>
                  <w:b/>
                </w:rPr>
                <w:t>A. Major Shareholders</w:t>
              </w:r>
            </w:hyperlink>
          </w:p>
        </w:tc>
        <w:tc>
          <w:tcPr>
            <w:tcW w:w="410" w:type="dxa"/>
            <w:tcBorders/>
            <w:vAlign w:val="center"/>
          </w:tcPr>
          <w:p>
            <w:pPr>
              <w:pStyle w:val="TableContents"/>
              <w:bidi w:val="0"/>
              <w:spacing w:before="0" w:after="283"/>
              <w:jc w:val="right"/>
              <w:rPr/>
            </w:pPr>
            <w:r>
              <w:rPr/>
              <w:t> </w:t>
            </w:r>
            <w:r>
              <w:rPr/>
              <w:t>84</w:t>
            </w:r>
          </w:p>
        </w:tc>
      </w:tr>
      <w:tr>
        <w:trPr/>
        <w:tc>
          <w:tcPr>
            <w:tcW w:w="8810" w:type="dxa"/>
            <w:tcBorders/>
            <w:vAlign w:val="center"/>
          </w:tcPr>
          <w:p>
            <w:pPr>
              <w:pStyle w:val="TableContents"/>
              <w:bidi w:val="0"/>
              <w:spacing w:lineRule="auto" w:line="300" w:before="0" w:after="0"/>
              <w:jc w:val="left"/>
              <w:rPr/>
            </w:pPr>
            <w:hyperlink w:anchor="B.7">
              <w:r>
                <w:rPr>
                  <w:rStyle w:val="InternetLink"/>
                  <w:b/>
                </w:rPr>
                <w:t>B. Related Party Transactions</w:t>
              </w:r>
            </w:hyperlink>
          </w:p>
        </w:tc>
        <w:tc>
          <w:tcPr>
            <w:tcW w:w="410" w:type="dxa"/>
            <w:tcBorders/>
            <w:vAlign w:val="center"/>
          </w:tcPr>
          <w:p>
            <w:pPr>
              <w:pStyle w:val="TableContents"/>
              <w:bidi w:val="0"/>
              <w:spacing w:before="0" w:after="283"/>
              <w:jc w:val="right"/>
              <w:rPr/>
            </w:pPr>
            <w:r>
              <w:rPr/>
              <w:t> </w:t>
            </w:r>
            <w:r>
              <w:rPr/>
              <w:t>86</w:t>
            </w:r>
          </w:p>
        </w:tc>
      </w:tr>
      <w:tr>
        <w:trPr/>
        <w:tc>
          <w:tcPr>
            <w:tcW w:w="8810" w:type="dxa"/>
            <w:tcBorders/>
            <w:vAlign w:val="center"/>
          </w:tcPr>
          <w:p>
            <w:pPr>
              <w:pStyle w:val="TableContents"/>
              <w:bidi w:val="0"/>
              <w:spacing w:lineRule="auto" w:line="300" w:before="0" w:after="0"/>
              <w:jc w:val="left"/>
              <w:rPr/>
            </w:pPr>
            <w:hyperlink w:anchor="C.7">
              <w:r>
                <w:rPr>
                  <w:rStyle w:val="InternetLink"/>
                  <w:b/>
                </w:rPr>
                <w:t>C. Interests of Experts and Counsel</w:t>
              </w:r>
            </w:hyperlink>
          </w:p>
        </w:tc>
        <w:tc>
          <w:tcPr>
            <w:tcW w:w="410" w:type="dxa"/>
            <w:tcBorders/>
            <w:vAlign w:val="center"/>
          </w:tcPr>
          <w:p>
            <w:pPr>
              <w:pStyle w:val="TableContents"/>
              <w:bidi w:val="0"/>
              <w:spacing w:before="0" w:after="283"/>
              <w:jc w:val="right"/>
              <w:rPr/>
            </w:pPr>
            <w:r>
              <w:rPr/>
              <w:t> </w:t>
            </w:r>
            <w:r>
              <w:rPr/>
              <w:t>86</w:t>
            </w:r>
          </w:p>
        </w:tc>
      </w:tr>
      <w:tr>
        <w:trPr/>
        <w:tc>
          <w:tcPr>
            <w:tcW w:w="8810" w:type="dxa"/>
            <w:tcBorders/>
            <w:vAlign w:val="center"/>
          </w:tcPr>
          <w:p>
            <w:pPr>
              <w:pStyle w:val="TableContents"/>
              <w:bidi w:val="0"/>
              <w:spacing w:lineRule="auto" w:line="300" w:before="0" w:after="0"/>
              <w:jc w:val="left"/>
              <w:rPr/>
            </w:pPr>
            <w:hyperlink w:anchor="Item8.F">
              <w:r>
                <w:rPr>
                  <w:rStyle w:val="InternetLink"/>
                  <w:b/>
                </w:rPr>
                <w:t>ITEM 8. FINANCIAL INFORMATION</w:t>
              </w:r>
            </w:hyperlink>
          </w:p>
        </w:tc>
        <w:tc>
          <w:tcPr>
            <w:tcW w:w="410" w:type="dxa"/>
            <w:tcBorders/>
            <w:vAlign w:val="center"/>
          </w:tcPr>
          <w:p>
            <w:pPr>
              <w:pStyle w:val="TableContents"/>
              <w:bidi w:val="0"/>
              <w:spacing w:before="0" w:after="283"/>
              <w:jc w:val="right"/>
              <w:rPr/>
            </w:pPr>
            <w:r>
              <w:rPr/>
              <w:t> </w:t>
            </w:r>
            <w:r>
              <w:rPr/>
              <w:t>86</w:t>
            </w:r>
          </w:p>
        </w:tc>
      </w:tr>
      <w:tr>
        <w:trPr/>
        <w:tc>
          <w:tcPr>
            <w:tcW w:w="8810" w:type="dxa"/>
            <w:tcBorders/>
            <w:vAlign w:val="center"/>
          </w:tcPr>
          <w:p>
            <w:pPr>
              <w:pStyle w:val="TableContents"/>
              <w:bidi w:val="0"/>
              <w:spacing w:lineRule="auto" w:line="300" w:before="0" w:after="0"/>
              <w:jc w:val="left"/>
              <w:rPr/>
            </w:pPr>
            <w:hyperlink w:anchor="A.8">
              <w:r>
                <w:rPr>
                  <w:rStyle w:val="InternetLink"/>
                  <w:b/>
                </w:rPr>
                <w:t>A. Consolidated Statements and Other Financial Information</w:t>
              </w:r>
            </w:hyperlink>
          </w:p>
        </w:tc>
        <w:tc>
          <w:tcPr>
            <w:tcW w:w="410" w:type="dxa"/>
            <w:tcBorders/>
            <w:vAlign w:val="center"/>
          </w:tcPr>
          <w:p>
            <w:pPr>
              <w:pStyle w:val="TableContents"/>
              <w:bidi w:val="0"/>
              <w:spacing w:before="0" w:after="283"/>
              <w:jc w:val="right"/>
              <w:rPr/>
            </w:pPr>
            <w:r>
              <w:rPr/>
              <w:t> </w:t>
            </w:r>
            <w:r>
              <w:rPr/>
              <w:t>86</w:t>
            </w:r>
          </w:p>
        </w:tc>
      </w:tr>
      <w:tr>
        <w:trPr/>
        <w:tc>
          <w:tcPr>
            <w:tcW w:w="8810" w:type="dxa"/>
            <w:tcBorders/>
            <w:vAlign w:val="center"/>
          </w:tcPr>
          <w:p>
            <w:pPr>
              <w:pStyle w:val="TableContents"/>
              <w:bidi w:val="0"/>
              <w:spacing w:lineRule="auto" w:line="300" w:before="0" w:after="0"/>
              <w:jc w:val="left"/>
              <w:rPr/>
            </w:pPr>
            <w:hyperlink w:anchor="B.8">
              <w:r>
                <w:rPr>
                  <w:rStyle w:val="InternetLink"/>
                  <w:b/>
                </w:rPr>
                <w:t>B. Significant Changes</w:t>
              </w:r>
            </w:hyperlink>
          </w:p>
        </w:tc>
        <w:tc>
          <w:tcPr>
            <w:tcW w:w="410" w:type="dxa"/>
            <w:tcBorders/>
            <w:vAlign w:val="center"/>
          </w:tcPr>
          <w:p>
            <w:pPr>
              <w:pStyle w:val="TableContents"/>
              <w:bidi w:val="0"/>
              <w:spacing w:before="0" w:after="283"/>
              <w:jc w:val="right"/>
              <w:rPr/>
            </w:pPr>
            <w:r>
              <w:rPr/>
              <w:t> </w:t>
            </w:r>
            <w:r>
              <w:rPr/>
              <w:t>87</w:t>
            </w:r>
          </w:p>
        </w:tc>
      </w:tr>
      <w:tr>
        <w:trPr/>
        <w:tc>
          <w:tcPr>
            <w:tcW w:w="8810" w:type="dxa"/>
            <w:tcBorders/>
            <w:vAlign w:val="center"/>
          </w:tcPr>
          <w:p>
            <w:pPr>
              <w:pStyle w:val="TableContents"/>
              <w:bidi w:val="0"/>
              <w:spacing w:lineRule="auto" w:line="300" w:before="0" w:after="0"/>
              <w:jc w:val="left"/>
              <w:rPr/>
            </w:pPr>
            <w:hyperlink w:anchor="Item9.T">
              <w:r>
                <w:rPr>
                  <w:rStyle w:val="InternetLink"/>
                  <w:b/>
                </w:rPr>
                <w:t>ITEM 9. THE OFFER AND LISTING</w:t>
              </w:r>
            </w:hyperlink>
          </w:p>
        </w:tc>
        <w:tc>
          <w:tcPr>
            <w:tcW w:w="410" w:type="dxa"/>
            <w:tcBorders/>
            <w:vAlign w:val="center"/>
          </w:tcPr>
          <w:p>
            <w:pPr>
              <w:pStyle w:val="TableContents"/>
              <w:bidi w:val="0"/>
              <w:spacing w:before="0" w:after="283"/>
              <w:jc w:val="right"/>
              <w:rPr/>
            </w:pPr>
            <w:r>
              <w:rPr/>
              <w:t>87</w:t>
            </w:r>
          </w:p>
        </w:tc>
      </w:tr>
      <w:tr>
        <w:trPr/>
        <w:tc>
          <w:tcPr>
            <w:tcW w:w="8810" w:type="dxa"/>
            <w:tcBorders/>
            <w:vAlign w:val="center"/>
          </w:tcPr>
          <w:p>
            <w:pPr>
              <w:pStyle w:val="TableContents"/>
              <w:bidi w:val="0"/>
              <w:spacing w:lineRule="auto" w:line="300" w:before="0" w:after="0"/>
              <w:jc w:val="left"/>
              <w:rPr/>
            </w:pPr>
            <w:hyperlink w:anchor="A.9">
              <w:r>
                <w:rPr>
                  <w:rStyle w:val="InternetLink"/>
                  <w:b/>
                </w:rPr>
                <w:t>A. Offer and Listing Details</w:t>
              </w:r>
            </w:hyperlink>
          </w:p>
        </w:tc>
        <w:tc>
          <w:tcPr>
            <w:tcW w:w="410" w:type="dxa"/>
            <w:tcBorders/>
            <w:vAlign w:val="center"/>
          </w:tcPr>
          <w:p>
            <w:pPr>
              <w:pStyle w:val="TableContents"/>
              <w:bidi w:val="0"/>
              <w:spacing w:before="0" w:after="283"/>
              <w:jc w:val="right"/>
              <w:rPr/>
            </w:pPr>
            <w:r>
              <w:rPr/>
              <w:t> </w:t>
            </w:r>
            <w:r>
              <w:rPr/>
              <w:t>87</w:t>
            </w:r>
          </w:p>
        </w:tc>
      </w:tr>
      <w:tr>
        <w:trPr/>
        <w:tc>
          <w:tcPr>
            <w:tcW w:w="8810" w:type="dxa"/>
            <w:tcBorders/>
            <w:vAlign w:val="center"/>
          </w:tcPr>
          <w:p>
            <w:pPr>
              <w:pStyle w:val="TableContents"/>
              <w:bidi w:val="0"/>
              <w:spacing w:lineRule="auto" w:line="300" w:before="0" w:after="0"/>
              <w:jc w:val="left"/>
              <w:rPr/>
            </w:pPr>
            <w:hyperlink w:anchor="B.9">
              <w:r>
                <w:rPr>
                  <w:rStyle w:val="InternetLink"/>
                  <w:b/>
                </w:rPr>
                <w:t>B. Plan of Distribution</w:t>
              </w:r>
            </w:hyperlink>
          </w:p>
        </w:tc>
        <w:tc>
          <w:tcPr>
            <w:tcW w:w="410" w:type="dxa"/>
            <w:tcBorders/>
            <w:vAlign w:val="center"/>
          </w:tcPr>
          <w:p>
            <w:pPr>
              <w:pStyle w:val="TableContents"/>
              <w:bidi w:val="0"/>
              <w:spacing w:before="0" w:after="283"/>
              <w:jc w:val="right"/>
              <w:rPr/>
            </w:pPr>
            <w:r>
              <w:rPr/>
              <w:t> </w:t>
            </w:r>
            <w:r>
              <w:rPr/>
              <w:t>87</w:t>
            </w:r>
          </w:p>
        </w:tc>
      </w:tr>
      <w:tr>
        <w:trPr/>
        <w:tc>
          <w:tcPr>
            <w:tcW w:w="8810" w:type="dxa"/>
            <w:tcBorders/>
            <w:vAlign w:val="center"/>
          </w:tcPr>
          <w:p>
            <w:pPr>
              <w:pStyle w:val="TableContents"/>
              <w:bidi w:val="0"/>
              <w:spacing w:lineRule="auto" w:line="300" w:before="0" w:after="0"/>
              <w:jc w:val="left"/>
              <w:rPr/>
            </w:pPr>
            <w:hyperlink w:anchor="C.9">
              <w:r>
                <w:rPr>
                  <w:rStyle w:val="InternetLink"/>
                  <w:b/>
                </w:rPr>
                <w:t>C. Markets</w:t>
              </w:r>
            </w:hyperlink>
          </w:p>
        </w:tc>
        <w:tc>
          <w:tcPr>
            <w:tcW w:w="410" w:type="dxa"/>
            <w:tcBorders/>
            <w:vAlign w:val="center"/>
          </w:tcPr>
          <w:p>
            <w:pPr>
              <w:pStyle w:val="TableContents"/>
              <w:bidi w:val="0"/>
              <w:spacing w:before="0" w:after="283"/>
              <w:jc w:val="right"/>
              <w:rPr/>
            </w:pPr>
            <w:r>
              <w:rPr/>
              <w:t> </w:t>
            </w:r>
            <w:r>
              <w:rPr/>
              <w:t>87</w:t>
            </w:r>
          </w:p>
        </w:tc>
      </w:tr>
      <w:tr>
        <w:trPr/>
        <w:tc>
          <w:tcPr>
            <w:tcW w:w="8810" w:type="dxa"/>
            <w:tcBorders/>
            <w:vAlign w:val="center"/>
          </w:tcPr>
          <w:p>
            <w:pPr>
              <w:pStyle w:val="TableContents"/>
              <w:bidi w:val="0"/>
              <w:spacing w:lineRule="auto" w:line="300" w:before="0" w:after="0"/>
              <w:jc w:val="left"/>
              <w:rPr/>
            </w:pPr>
            <w:hyperlink w:anchor="D.9">
              <w:r>
                <w:rPr>
                  <w:rStyle w:val="InternetLink"/>
                  <w:b/>
                </w:rPr>
                <w:t>D. Selling Shareholders</w:t>
              </w:r>
            </w:hyperlink>
          </w:p>
        </w:tc>
        <w:tc>
          <w:tcPr>
            <w:tcW w:w="410" w:type="dxa"/>
            <w:tcBorders/>
            <w:vAlign w:val="center"/>
          </w:tcPr>
          <w:p>
            <w:pPr>
              <w:pStyle w:val="TableContents"/>
              <w:bidi w:val="0"/>
              <w:spacing w:before="0" w:after="283"/>
              <w:jc w:val="right"/>
              <w:rPr/>
            </w:pPr>
            <w:r>
              <w:rPr/>
              <w:t> </w:t>
            </w:r>
            <w:r>
              <w:rPr/>
              <w:t>87</w:t>
            </w:r>
          </w:p>
        </w:tc>
      </w:tr>
      <w:tr>
        <w:trPr/>
        <w:tc>
          <w:tcPr>
            <w:tcW w:w="8810" w:type="dxa"/>
            <w:tcBorders/>
            <w:vAlign w:val="center"/>
          </w:tcPr>
          <w:p>
            <w:pPr>
              <w:pStyle w:val="TableContents"/>
              <w:bidi w:val="0"/>
              <w:spacing w:lineRule="auto" w:line="300" w:before="0" w:after="0"/>
              <w:jc w:val="left"/>
              <w:rPr/>
            </w:pPr>
            <w:hyperlink w:anchor="E.9">
              <w:r>
                <w:rPr>
                  <w:rStyle w:val="InternetLink"/>
                  <w:b/>
                </w:rPr>
                <w:t>E. Dilution</w:t>
              </w:r>
            </w:hyperlink>
          </w:p>
        </w:tc>
        <w:tc>
          <w:tcPr>
            <w:tcW w:w="410" w:type="dxa"/>
            <w:tcBorders/>
            <w:vAlign w:val="center"/>
          </w:tcPr>
          <w:p>
            <w:pPr>
              <w:pStyle w:val="TableContents"/>
              <w:bidi w:val="0"/>
              <w:spacing w:before="0" w:after="283"/>
              <w:jc w:val="right"/>
              <w:rPr/>
            </w:pPr>
            <w:r>
              <w:rPr/>
              <w:t> </w:t>
            </w:r>
            <w:r>
              <w:rPr/>
              <w:t>87</w:t>
            </w:r>
          </w:p>
        </w:tc>
      </w:tr>
      <w:tr>
        <w:trPr/>
        <w:tc>
          <w:tcPr>
            <w:tcW w:w="8810" w:type="dxa"/>
            <w:tcBorders/>
            <w:vAlign w:val="center"/>
          </w:tcPr>
          <w:p>
            <w:pPr>
              <w:pStyle w:val="TableContents"/>
              <w:bidi w:val="0"/>
              <w:spacing w:lineRule="auto" w:line="300" w:before="0" w:after="0"/>
              <w:jc w:val="left"/>
              <w:rPr/>
            </w:pPr>
            <w:hyperlink w:anchor="F.9">
              <w:r>
                <w:rPr>
                  <w:rStyle w:val="InternetLink"/>
                  <w:b/>
                </w:rPr>
                <w:t>F. Expenses of the Issue</w:t>
              </w:r>
            </w:hyperlink>
          </w:p>
        </w:tc>
        <w:tc>
          <w:tcPr>
            <w:tcW w:w="410" w:type="dxa"/>
            <w:tcBorders/>
            <w:vAlign w:val="center"/>
          </w:tcPr>
          <w:p>
            <w:pPr>
              <w:pStyle w:val="TableContents"/>
              <w:bidi w:val="0"/>
              <w:spacing w:before="0" w:after="283"/>
              <w:jc w:val="right"/>
              <w:rPr/>
            </w:pPr>
            <w:r>
              <w:rPr/>
              <w:t> </w:t>
            </w:r>
            <w:r>
              <w:rPr/>
              <w:t>87</w:t>
            </w:r>
          </w:p>
        </w:tc>
      </w:tr>
    </w:tbl>
    <w:p>
      <w:pPr>
        <w:pStyle w:val="Normal"/>
        <w:bidi w:val="0"/>
        <w:spacing w:before="0" w:after="0"/>
        <w:jc w:val="left"/>
        <w:rPr>
          <w:sz w:val="4"/>
          <w:szCs w:val="4"/>
        </w:rPr>
      </w:pPr>
      <w:r>
        <w:rPr>
          <w:sz w:val="4"/>
          <w:szCs w:val="4"/>
        </w:rPr>
      </w:r>
      <w:bookmarkStart w:id="6" w:name="z1e0662ad80ef4d82b88971ed0871fb5b"/>
      <w:bookmarkStart w:id="7" w:name="z1e0662ad80ef4d82b88971ed0871fb5b"/>
      <w:bookmarkEnd w:id="7"/>
    </w:p>
    <w:tbl>
      <w:tblPr>
        <w:tblW w:w="5155" w:type="dxa"/>
        <w:jc w:val="left"/>
        <w:tblInd w:w="0" w:type="dxa"/>
        <w:tblLayout w:type="fixed"/>
        <w:tblCellMar>
          <w:top w:w="45" w:type="dxa"/>
          <w:left w:w="45" w:type="dxa"/>
          <w:bottom w:w="45" w:type="dxa"/>
          <w:right w:w="45" w:type="dxa"/>
        </w:tblCellMar>
      </w:tblPr>
      <w:tblGrid>
        <w:gridCol w:w="4625"/>
        <w:gridCol w:w="530"/>
      </w:tblGrid>
      <w:tr>
        <w:trPr/>
        <w:tc>
          <w:tcPr>
            <w:tcW w:w="4625" w:type="dxa"/>
            <w:tcBorders/>
            <w:vAlign w:val="center"/>
          </w:tcPr>
          <w:p>
            <w:pPr>
              <w:pStyle w:val="TableContents"/>
              <w:bidi w:val="0"/>
              <w:spacing w:lineRule="auto" w:line="300" w:before="0" w:after="0"/>
              <w:jc w:val="left"/>
              <w:rPr/>
            </w:pPr>
            <w:hyperlink w:anchor="Item9.T">
              <w:r>
                <w:rPr>
                  <w:rStyle w:val="InternetLink"/>
                  <w:b/>
                </w:rPr>
                <w:t>ITEM 10. ADDITIONAL INFORMATION</w:t>
              </w:r>
            </w:hyperlink>
          </w:p>
        </w:tc>
        <w:tc>
          <w:tcPr>
            <w:tcW w:w="530" w:type="dxa"/>
            <w:tcBorders/>
            <w:vAlign w:val="center"/>
          </w:tcPr>
          <w:p>
            <w:pPr>
              <w:pStyle w:val="TableContents"/>
              <w:bidi w:val="0"/>
              <w:spacing w:before="0" w:after="283"/>
              <w:jc w:val="right"/>
              <w:rPr/>
            </w:pPr>
            <w:r>
              <w:rPr/>
              <w:t> </w:t>
            </w:r>
            <w:r>
              <w:rPr/>
              <w:t>87</w:t>
            </w:r>
          </w:p>
        </w:tc>
      </w:tr>
      <w:tr>
        <w:trPr/>
        <w:tc>
          <w:tcPr>
            <w:tcW w:w="4625" w:type="dxa"/>
            <w:tcBorders/>
            <w:vAlign w:val="center"/>
          </w:tcPr>
          <w:p>
            <w:pPr>
              <w:pStyle w:val="TableContents"/>
              <w:bidi w:val="0"/>
              <w:spacing w:lineRule="auto" w:line="300" w:before="0" w:after="0"/>
              <w:jc w:val="left"/>
              <w:rPr/>
            </w:pPr>
            <w:hyperlink w:anchor="A.10">
              <w:r>
                <w:rPr>
                  <w:rStyle w:val="InternetLink"/>
                  <w:b/>
                </w:rPr>
                <w:t>A. Share Capital</w:t>
              </w:r>
            </w:hyperlink>
          </w:p>
        </w:tc>
        <w:tc>
          <w:tcPr>
            <w:tcW w:w="530" w:type="dxa"/>
            <w:tcBorders/>
            <w:vAlign w:val="center"/>
          </w:tcPr>
          <w:p>
            <w:pPr>
              <w:pStyle w:val="TableContents"/>
              <w:bidi w:val="0"/>
              <w:spacing w:before="0" w:after="283"/>
              <w:jc w:val="right"/>
              <w:rPr/>
            </w:pPr>
            <w:r>
              <w:rPr/>
              <w:t> </w:t>
            </w:r>
            <w:r>
              <w:rPr/>
              <w:t>87</w:t>
            </w:r>
          </w:p>
        </w:tc>
      </w:tr>
      <w:tr>
        <w:trPr/>
        <w:tc>
          <w:tcPr>
            <w:tcW w:w="4625" w:type="dxa"/>
            <w:tcBorders/>
            <w:vAlign w:val="center"/>
          </w:tcPr>
          <w:p>
            <w:pPr>
              <w:pStyle w:val="TableContents"/>
              <w:bidi w:val="0"/>
              <w:spacing w:lineRule="auto" w:line="300" w:before="0" w:after="0"/>
              <w:jc w:val="left"/>
              <w:rPr/>
            </w:pPr>
            <w:hyperlink w:anchor="B.10">
              <w:r>
                <w:rPr>
                  <w:rStyle w:val="InternetLink"/>
                  <w:b/>
                </w:rPr>
                <w:t>B. Memorandum and Articles of Association</w:t>
              </w:r>
            </w:hyperlink>
          </w:p>
        </w:tc>
        <w:tc>
          <w:tcPr>
            <w:tcW w:w="530" w:type="dxa"/>
            <w:tcBorders/>
            <w:vAlign w:val="center"/>
          </w:tcPr>
          <w:p>
            <w:pPr>
              <w:pStyle w:val="TableContents"/>
              <w:bidi w:val="0"/>
              <w:spacing w:before="0" w:after="283"/>
              <w:jc w:val="right"/>
              <w:rPr/>
            </w:pPr>
            <w:r>
              <w:rPr/>
              <w:t> </w:t>
            </w:r>
            <w:r>
              <w:rPr/>
              <w:t>87</w:t>
            </w:r>
          </w:p>
        </w:tc>
      </w:tr>
      <w:tr>
        <w:trPr/>
        <w:tc>
          <w:tcPr>
            <w:tcW w:w="4625" w:type="dxa"/>
            <w:tcBorders/>
            <w:vAlign w:val="center"/>
          </w:tcPr>
          <w:p>
            <w:pPr>
              <w:pStyle w:val="TableContents"/>
              <w:bidi w:val="0"/>
              <w:spacing w:lineRule="auto" w:line="300" w:before="0" w:after="0"/>
              <w:jc w:val="left"/>
              <w:rPr/>
            </w:pPr>
            <w:hyperlink w:anchor="C.10">
              <w:r>
                <w:rPr>
                  <w:rStyle w:val="InternetLink"/>
                  <w:b/>
                </w:rPr>
                <w:t>C. Material Contracts</w:t>
              </w:r>
            </w:hyperlink>
          </w:p>
        </w:tc>
        <w:tc>
          <w:tcPr>
            <w:tcW w:w="530" w:type="dxa"/>
            <w:tcBorders/>
            <w:vAlign w:val="center"/>
          </w:tcPr>
          <w:p>
            <w:pPr>
              <w:pStyle w:val="TableContents"/>
              <w:bidi w:val="0"/>
              <w:spacing w:before="0" w:after="283"/>
              <w:jc w:val="right"/>
              <w:rPr/>
            </w:pPr>
            <w:r>
              <w:rPr/>
              <w:t> </w:t>
            </w:r>
            <w:r>
              <w:rPr/>
              <w:t>88</w:t>
            </w:r>
          </w:p>
        </w:tc>
      </w:tr>
      <w:tr>
        <w:trPr/>
        <w:tc>
          <w:tcPr>
            <w:tcW w:w="4625" w:type="dxa"/>
            <w:tcBorders/>
            <w:vAlign w:val="center"/>
          </w:tcPr>
          <w:p>
            <w:pPr>
              <w:pStyle w:val="TableContents"/>
              <w:bidi w:val="0"/>
              <w:spacing w:lineRule="auto" w:line="300" w:before="0" w:after="0"/>
              <w:jc w:val="left"/>
              <w:rPr/>
            </w:pPr>
            <w:hyperlink w:anchor="D.10">
              <w:r>
                <w:rPr>
                  <w:rStyle w:val="InternetLink"/>
                  <w:b/>
                </w:rPr>
                <w:t>D. Exchange Controls</w:t>
              </w:r>
            </w:hyperlink>
          </w:p>
        </w:tc>
        <w:tc>
          <w:tcPr>
            <w:tcW w:w="530" w:type="dxa"/>
            <w:tcBorders/>
            <w:vAlign w:val="center"/>
          </w:tcPr>
          <w:p>
            <w:pPr>
              <w:pStyle w:val="TableContents"/>
              <w:bidi w:val="0"/>
              <w:spacing w:before="0" w:after="283"/>
              <w:jc w:val="right"/>
              <w:rPr/>
            </w:pPr>
            <w:r>
              <w:rPr/>
              <w:t>90</w:t>
            </w:r>
          </w:p>
        </w:tc>
      </w:tr>
      <w:tr>
        <w:trPr/>
        <w:tc>
          <w:tcPr>
            <w:tcW w:w="4625" w:type="dxa"/>
            <w:tcBorders/>
            <w:vAlign w:val="center"/>
          </w:tcPr>
          <w:p>
            <w:pPr>
              <w:pStyle w:val="TableContents"/>
              <w:bidi w:val="0"/>
              <w:spacing w:lineRule="auto" w:line="300" w:before="0" w:after="0"/>
              <w:jc w:val="left"/>
              <w:rPr/>
            </w:pPr>
            <w:hyperlink w:anchor="E.10">
              <w:r>
                <w:rPr>
                  <w:rStyle w:val="InternetLink"/>
                  <w:b/>
                </w:rPr>
                <w:t>E. Taxation</w:t>
              </w:r>
            </w:hyperlink>
          </w:p>
        </w:tc>
        <w:tc>
          <w:tcPr>
            <w:tcW w:w="530" w:type="dxa"/>
            <w:tcBorders/>
            <w:vAlign w:val="center"/>
          </w:tcPr>
          <w:p>
            <w:pPr>
              <w:pStyle w:val="TableContents"/>
              <w:bidi w:val="0"/>
              <w:spacing w:before="0" w:after="283"/>
              <w:jc w:val="right"/>
              <w:rPr/>
            </w:pPr>
            <w:r>
              <w:rPr/>
              <w:t>90</w:t>
            </w:r>
          </w:p>
        </w:tc>
      </w:tr>
      <w:tr>
        <w:trPr/>
        <w:tc>
          <w:tcPr>
            <w:tcW w:w="4625" w:type="dxa"/>
            <w:tcBorders/>
            <w:vAlign w:val="center"/>
          </w:tcPr>
          <w:p>
            <w:pPr>
              <w:pStyle w:val="TableContents"/>
              <w:bidi w:val="0"/>
              <w:spacing w:lineRule="auto" w:line="300" w:before="0" w:after="0"/>
              <w:jc w:val="left"/>
              <w:rPr/>
            </w:pPr>
            <w:hyperlink w:anchor="F.10">
              <w:r>
                <w:rPr>
                  <w:rStyle w:val="InternetLink"/>
                  <w:b/>
                </w:rPr>
                <w:t>F. Dividends and Paying Agents</w:t>
              </w:r>
            </w:hyperlink>
          </w:p>
        </w:tc>
        <w:tc>
          <w:tcPr>
            <w:tcW w:w="530" w:type="dxa"/>
            <w:tcBorders/>
            <w:vAlign w:val="center"/>
          </w:tcPr>
          <w:p>
            <w:pPr>
              <w:pStyle w:val="TableContents"/>
              <w:bidi w:val="0"/>
              <w:spacing w:before="0" w:after="283"/>
              <w:jc w:val="right"/>
              <w:rPr/>
            </w:pPr>
            <w:r>
              <w:rPr/>
              <w:t>99</w:t>
            </w:r>
          </w:p>
        </w:tc>
      </w:tr>
      <w:tr>
        <w:trPr/>
        <w:tc>
          <w:tcPr>
            <w:tcW w:w="4625" w:type="dxa"/>
            <w:tcBorders/>
            <w:vAlign w:val="center"/>
          </w:tcPr>
          <w:p>
            <w:pPr>
              <w:pStyle w:val="TableContents"/>
              <w:bidi w:val="0"/>
              <w:spacing w:lineRule="auto" w:line="300" w:before="0" w:after="0"/>
              <w:jc w:val="left"/>
              <w:rPr/>
            </w:pPr>
            <w:hyperlink w:anchor="G.10">
              <w:r>
                <w:rPr>
                  <w:rStyle w:val="InternetLink"/>
                  <w:b/>
                </w:rPr>
                <w:t>G. Statement by Experts</w:t>
              </w:r>
            </w:hyperlink>
          </w:p>
        </w:tc>
        <w:tc>
          <w:tcPr>
            <w:tcW w:w="530" w:type="dxa"/>
            <w:tcBorders/>
            <w:vAlign w:val="center"/>
          </w:tcPr>
          <w:p>
            <w:pPr>
              <w:pStyle w:val="TableContents"/>
              <w:bidi w:val="0"/>
              <w:spacing w:before="0" w:after="283"/>
              <w:jc w:val="right"/>
              <w:rPr/>
            </w:pPr>
            <w:r>
              <w:rPr/>
              <w:t>99</w:t>
            </w:r>
          </w:p>
        </w:tc>
      </w:tr>
      <w:tr>
        <w:trPr/>
        <w:tc>
          <w:tcPr>
            <w:tcW w:w="4625" w:type="dxa"/>
            <w:tcBorders/>
            <w:vAlign w:val="center"/>
          </w:tcPr>
          <w:p>
            <w:pPr>
              <w:pStyle w:val="TableContents"/>
              <w:bidi w:val="0"/>
              <w:spacing w:lineRule="auto" w:line="300" w:before="0" w:after="0"/>
              <w:jc w:val="left"/>
              <w:rPr/>
            </w:pPr>
            <w:hyperlink w:anchor="H.10">
              <w:r>
                <w:rPr>
                  <w:rStyle w:val="InternetLink"/>
                  <w:b/>
                </w:rPr>
                <w:t>H. Documents on Display</w:t>
              </w:r>
            </w:hyperlink>
          </w:p>
        </w:tc>
        <w:tc>
          <w:tcPr>
            <w:tcW w:w="530" w:type="dxa"/>
            <w:tcBorders/>
            <w:vAlign w:val="center"/>
          </w:tcPr>
          <w:p>
            <w:pPr>
              <w:pStyle w:val="TableContents"/>
              <w:bidi w:val="0"/>
              <w:spacing w:before="0" w:after="283"/>
              <w:jc w:val="right"/>
              <w:rPr/>
            </w:pPr>
            <w:r>
              <w:rPr/>
              <w:t>99</w:t>
            </w:r>
          </w:p>
        </w:tc>
      </w:tr>
      <w:tr>
        <w:trPr/>
        <w:tc>
          <w:tcPr>
            <w:tcW w:w="4625" w:type="dxa"/>
            <w:tcBorders/>
            <w:vAlign w:val="center"/>
          </w:tcPr>
          <w:p>
            <w:pPr>
              <w:pStyle w:val="TableContents"/>
              <w:bidi w:val="0"/>
              <w:spacing w:lineRule="auto" w:line="300" w:before="0" w:after="0"/>
              <w:jc w:val="left"/>
              <w:rPr/>
            </w:pPr>
            <w:hyperlink w:anchor="I.10">
              <w:r>
                <w:rPr>
                  <w:rStyle w:val="InternetLink"/>
                  <w:b/>
                </w:rPr>
                <w:t>I. Subsidiary Information</w:t>
              </w:r>
            </w:hyperlink>
          </w:p>
        </w:tc>
        <w:tc>
          <w:tcPr>
            <w:tcW w:w="530" w:type="dxa"/>
            <w:tcBorders/>
            <w:vAlign w:val="center"/>
          </w:tcPr>
          <w:p>
            <w:pPr>
              <w:pStyle w:val="TableContents"/>
              <w:bidi w:val="0"/>
              <w:spacing w:before="0" w:after="283"/>
              <w:jc w:val="right"/>
              <w:rPr/>
            </w:pPr>
            <w:r>
              <w:rPr/>
              <w:t> </w:t>
            </w:r>
            <w:r>
              <w:rPr/>
              <w:t>100</w:t>
            </w:r>
          </w:p>
        </w:tc>
      </w:tr>
      <w:tr>
        <w:trPr/>
        <w:tc>
          <w:tcPr>
            <w:tcW w:w="4625" w:type="dxa"/>
            <w:tcBorders/>
            <w:vAlign w:val="center"/>
          </w:tcPr>
          <w:p>
            <w:pPr>
              <w:pStyle w:val="TableContents"/>
              <w:bidi w:val="0"/>
              <w:spacing w:lineRule="auto" w:line="300" w:before="0" w:after="0"/>
              <w:jc w:val="left"/>
              <w:rPr/>
            </w:pPr>
            <w:hyperlink w:anchor="J.10">
              <w:r>
                <w:rPr>
                  <w:rStyle w:val="InternetLink"/>
                  <w:b/>
                </w:rPr>
                <w:t>J. Annual Report to Security Holders</w:t>
              </w:r>
            </w:hyperlink>
          </w:p>
        </w:tc>
        <w:tc>
          <w:tcPr>
            <w:tcW w:w="530" w:type="dxa"/>
            <w:tcBorders/>
            <w:vAlign w:val="center"/>
          </w:tcPr>
          <w:p>
            <w:pPr>
              <w:pStyle w:val="TableContents"/>
              <w:bidi w:val="0"/>
              <w:spacing w:before="0" w:after="283"/>
              <w:jc w:val="right"/>
              <w:rPr/>
            </w:pPr>
            <w:r>
              <w:rPr/>
              <w:t> </w:t>
            </w:r>
            <w:r>
              <w:rPr/>
              <w:t>100</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w:t>
      </w:r>
    </w:p>
    <w:p>
      <w:pPr>
        <w:pStyle w:val="HorizontalLine"/>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 w:name="zc3eb7aa783f74588b43639d2d96a0d94"/>
      <w:bookmarkStart w:id="9" w:name="zc3eb7aa783f74588b43639d2d96a0d94"/>
      <w:bookmarkEnd w:id="9"/>
    </w:p>
    <w:tbl>
      <w:tblPr>
        <w:tblW w:w="10205" w:type="dxa"/>
        <w:jc w:val="left"/>
        <w:tblInd w:w="0" w:type="dxa"/>
        <w:tblLayout w:type="fixed"/>
        <w:tblCellMar>
          <w:top w:w="45" w:type="dxa"/>
          <w:left w:w="45" w:type="dxa"/>
          <w:bottom w:w="45" w:type="dxa"/>
          <w:right w:w="45" w:type="dxa"/>
        </w:tblCellMar>
      </w:tblPr>
      <w:tblGrid>
        <w:gridCol w:w="9675"/>
        <w:gridCol w:w="530"/>
      </w:tblGrid>
      <w:tr>
        <w:trPr/>
        <w:tc>
          <w:tcPr>
            <w:tcW w:w="9675" w:type="dxa"/>
            <w:tcBorders/>
            <w:vAlign w:val="center"/>
          </w:tcPr>
          <w:p>
            <w:pPr>
              <w:pStyle w:val="TableContents"/>
              <w:bidi w:val="0"/>
              <w:spacing w:lineRule="auto" w:line="300" w:before="0" w:after="0"/>
              <w:jc w:val="left"/>
              <w:rPr/>
            </w:pPr>
            <w:hyperlink w:anchor="Item11.">
              <w:r>
                <w:rPr>
                  <w:rStyle w:val="InternetLink"/>
                  <w:b/>
                </w:rPr>
                <w:t>ITEM 11. QUANTITATIVE AND QUALITATIVE DISCLOSURES ABOUT MARKET RISK</w:t>
              </w:r>
            </w:hyperlink>
          </w:p>
        </w:tc>
        <w:tc>
          <w:tcPr>
            <w:tcW w:w="530" w:type="dxa"/>
            <w:tcBorders/>
            <w:vAlign w:val="center"/>
          </w:tcPr>
          <w:p>
            <w:pPr>
              <w:pStyle w:val="TableContents"/>
              <w:bidi w:val="0"/>
              <w:spacing w:before="0" w:after="283"/>
              <w:jc w:val="right"/>
              <w:rPr/>
            </w:pPr>
            <w:r>
              <w:rPr/>
              <w:t xml:space="preserve">100 </w:t>
            </w:r>
          </w:p>
        </w:tc>
      </w:tr>
      <w:tr>
        <w:trPr/>
        <w:tc>
          <w:tcPr>
            <w:tcW w:w="9675" w:type="dxa"/>
            <w:tcBorders/>
            <w:vAlign w:val="center"/>
          </w:tcPr>
          <w:p>
            <w:pPr>
              <w:pStyle w:val="TableContents"/>
              <w:bidi w:val="0"/>
              <w:spacing w:lineRule="auto" w:line="300" w:before="0" w:after="0"/>
              <w:jc w:val="left"/>
              <w:rPr/>
            </w:pPr>
            <w:hyperlink w:anchor="Item11.">
              <w:r>
                <w:rPr>
                  <w:rStyle w:val="InternetLink"/>
                  <w:b/>
                </w:rPr>
                <w:t>ITEM 12. DESCRIPTION OF SECURITIES OTHER THAN EQUITY SECURITIES</w:t>
              </w:r>
            </w:hyperlink>
          </w:p>
        </w:tc>
        <w:tc>
          <w:tcPr>
            <w:tcW w:w="530" w:type="dxa"/>
            <w:tcBorders/>
            <w:vAlign w:val="center"/>
          </w:tcPr>
          <w:p>
            <w:pPr>
              <w:pStyle w:val="TableContents"/>
              <w:bidi w:val="0"/>
              <w:spacing w:before="0" w:after="283"/>
              <w:jc w:val="right"/>
              <w:rPr/>
            </w:pPr>
            <w:r>
              <w:rPr/>
              <w:t> </w:t>
            </w:r>
            <w:r>
              <w:rPr/>
              <w:t>100</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PART II</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ITEM 13. DEFAULTS, DIVIDEND ARREARAGES AND DELINQUENCIES</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ITEM 14. MATERIAL MODIFICATIONS TO THE RIGHTS OF SECURITY HOLDERS AND USE OF PROCEEDS</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ITEM 15. CONTROLS AND PROCEDURES</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ITEM 16. [RESERVED]</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ITEM 16A. AUDIT COMMITTEE FINANCIAL EXPERT</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PARTII">
              <w:r>
                <w:rPr>
                  <w:rStyle w:val="InternetLink"/>
                  <w:b/>
                </w:rPr>
                <w:t>ITEM 16B. CODE OF ETHICS</w:t>
              </w:r>
            </w:hyperlink>
          </w:p>
        </w:tc>
        <w:tc>
          <w:tcPr>
            <w:tcW w:w="530" w:type="dxa"/>
            <w:tcBorders/>
            <w:vAlign w:val="center"/>
          </w:tcPr>
          <w:p>
            <w:pPr>
              <w:pStyle w:val="TableContents"/>
              <w:bidi w:val="0"/>
              <w:spacing w:before="0" w:after="283"/>
              <w:jc w:val="right"/>
              <w:rPr/>
            </w:pPr>
            <w:r>
              <w:rPr/>
              <w:t> </w:t>
            </w:r>
            <w:r>
              <w:rPr/>
              <w:t>101</w:t>
            </w:r>
          </w:p>
        </w:tc>
      </w:tr>
      <w:tr>
        <w:trPr/>
        <w:tc>
          <w:tcPr>
            <w:tcW w:w="9675" w:type="dxa"/>
            <w:tcBorders/>
            <w:vAlign w:val="center"/>
          </w:tcPr>
          <w:p>
            <w:pPr>
              <w:pStyle w:val="TableContents"/>
              <w:bidi w:val="0"/>
              <w:spacing w:lineRule="auto" w:line="300" w:before="0" w:after="0"/>
              <w:jc w:val="left"/>
              <w:rPr/>
            </w:pPr>
            <w:hyperlink w:anchor="Item16C.P">
              <w:r>
                <w:rPr>
                  <w:rStyle w:val="InternetLink"/>
                  <w:b/>
                </w:rPr>
                <w:t>ITEM 16C. PRINCIPAL ACCOUNTANT FEES AND SERVICES</w:t>
              </w:r>
            </w:hyperlink>
          </w:p>
        </w:tc>
        <w:tc>
          <w:tcPr>
            <w:tcW w:w="530" w:type="dxa"/>
            <w:tcBorders/>
            <w:vAlign w:val="center"/>
          </w:tcPr>
          <w:p>
            <w:pPr>
              <w:pStyle w:val="TableContents"/>
              <w:bidi w:val="0"/>
              <w:spacing w:before="0" w:after="283"/>
              <w:jc w:val="right"/>
              <w:rPr/>
            </w:pPr>
            <w:r>
              <w:rPr/>
              <w:t> </w:t>
            </w:r>
            <w:r>
              <w:rPr/>
              <w:t>102</w:t>
            </w:r>
          </w:p>
        </w:tc>
      </w:tr>
      <w:tr>
        <w:trPr/>
        <w:tc>
          <w:tcPr>
            <w:tcW w:w="9675" w:type="dxa"/>
            <w:tcBorders/>
            <w:vAlign w:val="center"/>
          </w:tcPr>
          <w:p>
            <w:pPr>
              <w:pStyle w:val="TableContents"/>
              <w:bidi w:val="0"/>
              <w:spacing w:lineRule="auto" w:line="300" w:before="0" w:after="0"/>
              <w:jc w:val="left"/>
              <w:rPr/>
            </w:pPr>
            <w:hyperlink w:anchor="Item16C.P">
              <w:r>
                <w:rPr>
                  <w:rStyle w:val="InternetLink"/>
                  <w:b/>
                </w:rPr>
                <w:t>ITEM 16D. EXEMPTIONS FROM THE LISTING STANDARDS FOR AUDIT COMMITTEES</w:t>
              </w:r>
            </w:hyperlink>
          </w:p>
        </w:tc>
        <w:tc>
          <w:tcPr>
            <w:tcW w:w="530" w:type="dxa"/>
            <w:tcBorders/>
            <w:vAlign w:val="center"/>
          </w:tcPr>
          <w:p>
            <w:pPr>
              <w:pStyle w:val="TableContents"/>
              <w:bidi w:val="0"/>
              <w:spacing w:before="0" w:after="283"/>
              <w:jc w:val="right"/>
              <w:rPr/>
            </w:pPr>
            <w:r>
              <w:rPr/>
              <w:t> </w:t>
            </w:r>
            <w:r>
              <w:rPr/>
              <w:t>102</w:t>
            </w:r>
          </w:p>
        </w:tc>
      </w:tr>
      <w:tr>
        <w:trPr/>
        <w:tc>
          <w:tcPr>
            <w:tcW w:w="9675" w:type="dxa"/>
            <w:tcBorders/>
            <w:vAlign w:val="center"/>
          </w:tcPr>
          <w:p>
            <w:pPr>
              <w:pStyle w:val="TableContents"/>
              <w:bidi w:val="0"/>
              <w:spacing w:lineRule="auto" w:line="300" w:before="0" w:after="0"/>
              <w:jc w:val="left"/>
              <w:rPr/>
            </w:pPr>
            <w:hyperlink w:anchor="Item16C.P">
              <w:r>
                <w:rPr>
                  <w:rStyle w:val="InternetLink"/>
                  <w:b/>
                </w:rPr>
                <w:t>ITEM 16E. PURCHASES OF EQUITY SECURITIES BY THE ISSUER AND AFFILIATED PURCHASERS</w:t>
              </w:r>
            </w:hyperlink>
          </w:p>
        </w:tc>
        <w:tc>
          <w:tcPr>
            <w:tcW w:w="530" w:type="dxa"/>
            <w:tcBorders/>
            <w:vAlign w:val="center"/>
          </w:tcPr>
          <w:p>
            <w:pPr>
              <w:pStyle w:val="TableContents"/>
              <w:bidi w:val="0"/>
              <w:spacing w:before="0" w:after="283"/>
              <w:jc w:val="right"/>
              <w:rPr/>
            </w:pPr>
            <w:r>
              <w:rPr/>
              <w:t> </w:t>
            </w:r>
            <w:r>
              <w:rPr/>
              <w:t>102</w:t>
            </w:r>
          </w:p>
        </w:tc>
      </w:tr>
      <w:tr>
        <w:trPr/>
        <w:tc>
          <w:tcPr>
            <w:tcW w:w="9675" w:type="dxa"/>
            <w:tcBorders/>
            <w:vAlign w:val="center"/>
          </w:tcPr>
          <w:p>
            <w:pPr>
              <w:pStyle w:val="TableContents"/>
              <w:bidi w:val="0"/>
              <w:spacing w:lineRule="auto" w:line="300" w:before="0" w:after="0"/>
              <w:jc w:val="left"/>
              <w:rPr/>
            </w:pPr>
            <w:hyperlink w:anchor="Item16F.">
              <w:r>
                <w:rPr>
                  <w:rStyle w:val="InternetLink"/>
                  <w:b/>
                </w:rPr>
                <w:t>ITEM 16F. CHANGE IN REGISTRANT’S CERTIFYING ACCOUNTANT</w:t>
              </w:r>
            </w:hyperlink>
          </w:p>
        </w:tc>
        <w:tc>
          <w:tcPr>
            <w:tcW w:w="530" w:type="dxa"/>
            <w:tcBorders/>
            <w:vAlign w:val="center"/>
          </w:tcPr>
          <w:p>
            <w:pPr>
              <w:pStyle w:val="TableContents"/>
              <w:bidi w:val="0"/>
              <w:spacing w:before="0" w:after="283"/>
              <w:jc w:val="right"/>
              <w:rPr/>
            </w:pPr>
            <w:r>
              <w:rPr/>
              <w:t xml:space="preserve">103 </w:t>
            </w:r>
          </w:p>
        </w:tc>
      </w:tr>
      <w:tr>
        <w:trPr/>
        <w:tc>
          <w:tcPr>
            <w:tcW w:w="9675" w:type="dxa"/>
            <w:tcBorders/>
            <w:vAlign w:val="center"/>
          </w:tcPr>
          <w:p>
            <w:pPr>
              <w:pStyle w:val="TableContents"/>
              <w:bidi w:val="0"/>
              <w:spacing w:lineRule="auto" w:line="300" w:before="0" w:after="0"/>
              <w:jc w:val="left"/>
              <w:rPr/>
            </w:pPr>
            <w:hyperlink w:anchor="Item16F.">
              <w:r>
                <w:rPr>
                  <w:rStyle w:val="InternetLink"/>
                  <w:b/>
                </w:rPr>
                <w:t>ITEM 16G. CORPORATE GOVERNANCE</w:t>
              </w:r>
            </w:hyperlink>
          </w:p>
        </w:tc>
        <w:tc>
          <w:tcPr>
            <w:tcW w:w="530" w:type="dxa"/>
            <w:tcBorders/>
            <w:vAlign w:val="center"/>
          </w:tcPr>
          <w:p>
            <w:pPr>
              <w:pStyle w:val="TableContents"/>
              <w:bidi w:val="0"/>
              <w:spacing w:before="0" w:after="283"/>
              <w:jc w:val="right"/>
              <w:rPr/>
            </w:pPr>
            <w:r>
              <w:rPr/>
              <w:t> </w:t>
            </w:r>
            <w:r>
              <w:rPr/>
              <w:t>103</w:t>
            </w:r>
          </w:p>
        </w:tc>
      </w:tr>
      <w:tr>
        <w:trPr/>
        <w:tc>
          <w:tcPr>
            <w:tcW w:w="9675" w:type="dxa"/>
            <w:tcBorders/>
            <w:vAlign w:val="center"/>
          </w:tcPr>
          <w:p>
            <w:pPr>
              <w:pStyle w:val="TableContents"/>
              <w:bidi w:val="0"/>
              <w:spacing w:lineRule="auto" w:line="300" w:before="0" w:after="0"/>
              <w:jc w:val="left"/>
              <w:rPr/>
            </w:pPr>
            <w:hyperlink w:anchor="Item16F.">
              <w:r>
                <w:rPr>
                  <w:rStyle w:val="InternetLink"/>
                  <w:b/>
                </w:rPr>
                <w:t>ITEM 16H. MINE SAFETY DISCLOSURE</w:t>
              </w:r>
            </w:hyperlink>
          </w:p>
        </w:tc>
        <w:tc>
          <w:tcPr>
            <w:tcW w:w="530" w:type="dxa"/>
            <w:tcBorders/>
            <w:vAlign w:val="center"/>
          </w:tcPr>
          <w:p>
            <w:pPr>
              <w:pStyle w:val="TableContents"/>
              <w:bidi w:val="0"/>
              <w:spacing w:before="0" w:after="283"/>
              <w:jc w:val="right"/>
              <w:rPr/>
            </w:pPr>
            <w:r>
              <w:rPr/>
              <w:t> </w:t>
            </w:r>
            <w:r>
              <w:rPr/>
              <w:t>103</w:t>
            </w:r>
          </w:p>
        </w:tc>
      </w:tr>
      <w:tr>
        <w:trPr/>
        <w:tc>
          <w:tcPr>
            <w:tcW w:w="9675" w:type="dxa"/>
            <w:tcBorders/>
            <w:vAlign w:val="center"/>
          </w:tcPr>
          <w:p>
            <w:pPr>
              <w:pStyle w:val="TableContents"/>
              <w:bidi w:val="0"/>
              <w:spacing w:lineRule="auto" w:line="300" w:before="0" w:after="0"/>
              <w:jc w:val="left"/>
              <w:rPr/>
            </w:pPr>
            <w:hyperlink w:anchor="Item16F.">
              <w:r>
                <w:rPr>
                  <w:rStyle w:val="InternetLink"/>
                  <w:b/>
                </w:rPr>
                <w:t>ITEM 16I. DISCLOSURE REGARDING FOREIGN JURISDICTIONS THAT PREVENT INSPECTIONS</w:t>
              </w:r>
            </w:hyperlink>
          </w:p>
        </w:tc>
        <w:tc>
          <w:tcPr>
            <w:tcW w:w="530" w:type="dxa"/>
            <w:tcBorders/>
            <w:vAlign w:val="center"/>
          </w:tcPr>
          <w:p>
            <w:pPr>
              <w:pStyle w:val="TableContents"/>
              <w:bidi w:val="0"/>
              <w:spacing w:before="0" w:after="283"/>
              <w:jc w:val="right"/>
              <w:rPr/>
            </w:pPr>
            <w:r>
              <w:rPr/>
              <w:t> </w:t>
            </w:r>
            <w:r>
              <w:rPr/>
              <w:t>103</w:t>
            </w:r>
          </w:p>
        </w:tc>
      </w:tr>
      <w:tr>
        <w:trPr/>
        <w:tc>
          <w:tcPr>
            <w:tcW w:w="9675" w:type="dxa"/>
            <w:tcBorders/>
            <w:vAlign w:val="center"/>
          </w:tcPr>
          <w:p>
            <w:pPr>
              <w:pStyle w:val="TableContents"/>
              <w:bidi w:val="0"/>
              <w:spacing w:lineRule="auto" w:line="300" w:before="0" w:after="0"/>
              <w:jc w:val="left"/>
              <w:rPr/>
            </w:pPr>
            <w:hyperlink w:anchor="Item16F.">
              <w:r>
                <w:rPr>
                  <w:rStyle w:val="InternetLink"/>
                  <w:b/>
                </w:rPr>
                <w:t>ITEM 16J. INSIDER TRADING POLICIES</w:t>
              </w:r>
            </w:hyperlink>
          </w:p>
        </w:tc>
        <w:tc>
          <w:tcPr>
            <w:tcW w:w="530" w:type="dxa"/>
            <w:tcBorders/>
            <w:vAlign w:val="center"/>
          </w:tcPr>
          <w:p>
            <w:pPr>
              <w:pStyle w:val="TableContents"/>
              <w:bidi w:val="0"/>
              <w:spacing w:before="0" w:after="283"/>
              <w:jc w:val="right"/>
              <w:rPr/>
            </w:pPr>
            <w:r>
              <w:rPr/>
              <w:t> </w:t>
            </w:r>
            <w:r>
              <w:rPr/>
              <w:t>103</w:t>
            </w:r>
          </w:p>
        </w:tc>
      </w:tr>
      <w:tr>
        <w:trPr/>
        <w:tc>
          <w:tcPr>
            <w:tcW w:w="9675" w:type="dxa"/>
            <w:tcBorders/>
            <w:vAlign w:val="center"/>
          </w:tcPr>
          <w:p>
            <w:pPr>
              <w:pStyle w:val="TableContents"/>
              <w:bidi w:val="0"/>
              <w:spacing w:lineRule="auto" w:line="300" w:before="0" w:after="0"/>
              <w:jc w:val="left"/>
              <w:rPr/>
            </w:pPr>
            <w:hyperlink w:anchor="Item16F.">
              <w:r>
                <w:rPr>
                  <w:rStyle w:val="InternetLink"/>
                  <w:b/>
                </w:rPr>
                <w:t>ITEM 16K. CYBERSECURITY</w:t>
              </w:r>
            </w:hyperlink>
          </w:p>
        </w:tc>
        <w:tc>
          <w:tcPr>
            <w:tcW w:w="530" w:type="dxa"/>
            <w:tcBorders/>
            <w:vAlign w:val="center"/>
          </w:tcPr>
          <w:p>
            <w:pPr>
              <w:pStyle w:val="TableContents"/>
              <w:bidi w:val="0"/>
              <w:spacing w:before="0" w:after="283"/>
              <w:jc w:val="right"/>
              <w:rPr/>
            </w:pPr>
            <w:r>
              <w:rPr/>
              <w:t> </w:t>
            </w:r>
            <w:r>
              <w:rPr/>
              <w:t>103</w:t>
            </w:r>
          </w:p>
        </w:tc>
      </w:tr>
      <w:tr>
        <w:trPr/>
        <w:tc>
          <w:tcPr>
            <w:tcW w:w="9675" w:type="dxa"/>
            <w:tcBorders/>
            <w:vAlign w:val="center"/>
          </w:tcPr>
          <w:p>
            <w:pPr>
              <w:pStyle w:val="TableContents"/>
              <w:bidi w:val="0"/>
              <w:spacing w:lineRule="auto" w:line="300" w:before="0" w:after="0"/>
              <w:jc w:val="left"/>
              <w:rPr/>
            </w:pPr>
            <w:hyperlink w:anchor="PARTIII">
              <w:r>
                <w:rPr>
                  <w:rStyle w:val="InternetLink"/>
                  <w:b/>
                </w:rPr>
                <w:t>PART III</w:t>
              </w:r>
            </w:hyperlink>
          </w:p>
        </w:tc>
        <w:tc>
          <w:tcPr>
            <w:tcW w:w="530" w:type="dxa"/>
            <w:tcBorders/>
            <w:vAlign w:val="center"/>
          </w:tcPr>
          <w:p>
            <w:pPr>
              <w:pStyle w:val="TableContents"/>
              <w:bidi w:val="0"/>
              <w:spacing w:before="0" w:after="283"/>
              <w:jc w:val="right"/>
              <w:rPr/>
            </w:pPr>
            <w:r>
              <w:rPr/>
              <w:t> </w:t>
            </w:r>
            <w:r>
              <w:rPr/>
              <w:t>105</w:t>
            </w:r>
          </w:p>
        </w:tc>
      </w:tr>
      <w:tr>
        <w:trPr/>
        <w:tc>
          <w:tcPr>
            <w:tcW w:w="9675" w:type="dxa"/>
            <w:tcBorders/>
            <w:vAlign w:val="center"/>
          </w:tcPr>
          <w:p>
            <w:pPr>
              <w:pStyle w:val="TableContents"/>
              <w:bidi w:val="0"/>
              <w:spacing w:lineRule="auto" w:line="300" w:before="0" w:after="0"/>
              <w:jc w:val="left"/>
              <w:rPr/>
            </w:pPr>
            <w:hyperlink w:anchor="PARTIII">
              <w:r>
                <w:rPr>
                  <w:rStyle w:val="InternetLink"/>
                  <w:b/>
                </w:rPr>
                <w:t>ITEM 17. FINANCIAL STATEMENTS</w:t>
              </w:r>
            </w:hyperlink>
          </w:p>
        </w:tc>
        <w:tc>
          <w:tcPr>
            <w:tcW w:w="530" w:type="dxa"/>
            <w:tcBorders/>
            <w:vAlign w:val="center"/>
          </w:tcPr>
          <w:p>
            <w:pPr>
              <w:pStyle w:val="TableContents"/>
              <w:bidi w:val="0"/>
              <w:spacing w:before="0" w:after="283"/>
              <w:jc w:val="right"/>
              <w:rPr/>
            </w:pPr>
            <w:r>
              <w:rPr/>
              <w:t> </w:t>
            </w:r>
            <w:r>
              <w:rPr/>
              <w:t>105</w:t>
            </w:r>
          </w:p>
        </w:tc>
      </w:tr>
      <w:tr>
        <w:trPr/>
        <w:tc>
          <w:tcPr>
            <w:tcW w:w="9675" w:type="dxa"/>
            <w:tcBorders/>
            <w:vAlign w:val="center"/>
          </w:tcPr>
          <w:p>
            <w:pPr>
              <w:pStyle w:val="TableContents"/>
              <w:bidi w:val="0"/>
              <w:spacing w:lineRule="auto" w:line="300" w:before="0" w:after="0"/>
              <w:jc w:val="left"/>
              <w:rPr/>
            </w:pPr>
            <w:hyperlink w:anchor="PARTIII">
              <w:r>
                <w:rPr>
                  <w:rStyle w:val="InternetLink"/>
                  <w:b/>
                </w:rPr>
                <w:t>ITEM 18. FINANCIAL STATEMENTS</w:t>
              </w:r>
            </w:hyperlink>
          </w:p>
        </w:tc>
        <w:tc>
          <w:tcPr>
            <w:tcW w:w="530" w:type="dxa"/>
            <w:tcBorders/>
            <w:vAlign w:val="center"/>
          </w:tcPr>
          <w:p>
            <w:pPr>
              <w:pStyle w:val="TableContents"/>
              <w:bidi w:val="0"/>
              <w:spacing w:before="0" w:after="283"/>
              <w:jc w:val="right"/>
              <w:rPr/>
            </w:pPr>
            <w:r>
              <w:rPr/>
              <w:t> </w:t>
            </w:r>
            <w:r>
              <w:rPr/>
              <w:t>105</w:t>
            </w:r>
          </w:p>
        </w:tc>
      </w:tr>
      <w:tr>
        <w:trPr/>
        <w:tc>
          <w:tcPr>
            <w:tcW w:w="9675" w:type="dxa"/>
            <w:tcBorders/>
            <w:vAlign w:val="center"/>
          </w:tcPr>
          <w:p>
            <w:pPr>
              <w:pStyle w:val="TableContents"/>
              <w:bidi w:val="0"/>
              <w:spacing w:lineRule="auto" w:line="300" w:before="0" w:after="0"/>
              <w:jc w:val="left"/>
              <w:rPr/>
            </w:pPr>
            <w:hyperlink w:anchor="PARTIII">
              <w:r>
                <w:rPr>
                  <w:rStyle w:val="InternetLink"/>
                  <w:b/>
                </w:rPr>
                <w:t>ITEM 19. EXHIBITS</w:t>
              </w:r>
            </w:hyperlink>
          </w:p>
        </w:tc>
        <w:tc>
          <w:tcPr>
            <w:tcW w:w="530" w:type="dxa"/>
            <w:tcBorders/>
            <w:vAlign w:val="center"/>
          </w:tcPr>
          <w:p>
            <w:pPr>
              <w:pStyle w:val="TableContents"/>
              <w:bidi w:val="0"/>
              <w:spacing w:before="0" w:after="283"/>
              <w:jc w:val="right"/>
              <w:rPr/>
            </w:pPr>
            <w:r>
              <w:rPr/>
              <w:t xml:space="preserve">105 </w:t>
            </w:r>
          </w:p>
        </w:tc>
      </w:tr>
      <w:tr>
        <w:trPr/>
        <w:tc>
          <w:tcPr>
            <w:tcW w:w="9675" w:type="dxa"/>
            <w:tcBorders/>
            <w:vAlign w:val="center"/>
          </w:tcPr>
          <w:p>
            <w:pPr>
              <w:pStyle w:val="TableContents"/>
              <w:bidi w:val="0"/>
              <w:spacing w:lineRule="auto" w:line="300" w:before="0" w:after="0"/>
              <w:jc w:val="left"/>
              <w:rPr/>
            </w:pPr>
            <w:hyperlink w:anchor="SIGNATURES">
              <w:r>
                <w:rPr>
                  <w:rStyle w:val="InternetLink"/>
                  <w:b/>
                </w:rPr>
                <w:t>SIGNATURES</w:t>
              </w:r>
            </w:hyperlink>
          </w:p>
        </w:tc>
        <w:tc>
          <w:tcPr>
            <w:tcW w:w="530" w:type="dxa"/>
            <w:tcBorders/>
            <w:vAlign w:val="center"/>
          </w:tcPr>
          <w:p>
            <w:pPr>
              <w:pStyle w:val="TableContents"/>
              <w:bidi w:val="0"/>
              <w:spacing w:before="0" w:after="283"/>
              <w:jc w:val="right"/>
              <w:rPr/>
            </w:pPr>
            <w:r>
              <w:rPr/>
              <w:t> </w:t>
            </w:r>
            <w:r>
              <w:rPr/>
              <w:t>108</w:t>
            </w:r>
          </w:p>
        </w:tc>
      </w:tr>
      <w:tr>
        <w:trPr/>
        <w:tc>
          <w:tcPr>
            <w:tcW w:w="9675" w:type="dxa"/>
            <w:tcBorders/>
            <w:vAlign w:val="center"/>
          </w:tcPr>
          <w:p>
            <w:pPr>
              <w:pStyle w:val="TableContents"/>
              <w:bidi w:val="0"/>
              <w:spacing w:lineRule="auto" w:line="300" w:before="0" w:after="0"/>
              <w:jc w:val="left"/>
              <w:rPr/>
            </w:pPr>
            <w:hyperlink w:anchor="a_001">
              <w:r>
                <w:rPr>
                  <w:rStyle w:val="InternetLink"/>
                  <w:b/>
                </w:rPr>
                <w:t>INDEX TO CONSOLIDATED FINANCIAL STATEMENTS</w:t>
              </w:r>
            </w:hyperlink>
          </w:p>
        </w:tc>
        <w:tc>
          <w:tcPr>
            <w:tcW w:w="530" w:type="dxa"/>
            <w:tcBorders/>
            <w:vAlign w:val="center"/>
          </w:tcPr>
          <w:p>
            <w:pPr>
              <w:pStyle w:val="TableContents"/>
              <w:bidi w:val="0"/>
              <w:spacing w:lineRule="auto" w:line="300" w:before="0" w:after="0"/>
              <w:jc w:val="right"/>
              <w:rPr>
                <w:b w:val="false"/>
              </w:rPr>
            </w:pPr>
            <w:r>
              <w:rPr>
                <w:b w:val="false"/>
              </w:rPr>
              <w:t>F-1</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w:t>
      </w:r>
    </w:p>
    <w:p>
      <w:pPr>
        <w:pStyle w:val="HorizontalLine"/>
        <w:bidi w:val="0"/>
        <w:spacing w:before="200" w:after="200"/>
        <w:jc w:val="left"/>
        <w:rPr/>
      </w:pPr>
      <w:r>
        <w:rPr/>
      </w:r>
    </w:p>
    <w:p>
      <w:pPr>
        <w:pStyle w:val="TextBody"/>
        <w:bidi w:val="0"/>
        <w:spacing w:lineRule="auto" w:line="300" w:before="0" w:after="0"/>
        <w:jc w:val="center"/>
        <w:rPr>
          <w:b/>
          <w:sz w:val="20"/>
        </w:rPr>
      </w:pPr>
      <w:bookmarkStart w:id="10" w:name="ABOUTTHISANNUALREPORT"/>
      <w:bookmarkEnd w:id="10"/>
      <w:r>
        <w:rPr>
          <w:b/>
          <w:sz w:val="20"/>
        </w:rPr>
        <w:t>ABOUT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Except where the context otherwise requires or where otherwise indicated in this Annual Report, the terms “Fiverr,” the “Company,” “we,” “us,” “our,” “our Company” and “our business” refer to Fiverr International Ltd., together with its consolidated subsidiaries as a consolidated entity.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PRESENTATION OF FINANCIAL AND OTHER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financial statements have been prepared in accordance with generally accepted accounting principles in the United States (“</w:t>
      </w:r>
      <w:r>
        <w:rPr>
          <w:b/>
          <w:sz w:val="20"/>
        </w:rPr>
        <w:t>GAAP</w:t>
      </w:r>
      <w:r>
        <w:rPr>
          <w:sz w:val="20"/>
        </w:rPr>
        <w:t>”). We present our consolidated financial statements in U.S. dollars.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fiscal year ends on December 31 of each year. References to fiscal 2021 and 2021 are references to the fiscal year ended December 31, 2021, references to fiscal 2022 and 2022 are references to the fiscal year ended December 31, 2022, and references to fiscal 2023 and 2023 are references to the fiscal year ended December 31, 2023. Some amounts in this Annual Report may not total due to rounding. All percentages have been calculated using unrounded amounts.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Throughout this Annual Report, we provide a number of key performance indicators used by our management and often used by competitors in our industry. These and other key performance indicators are discussed in more detail in Item 5. “</w:t>
      </w:r>
      <w:r>
        <w:rPr>
          <w:i/>
          <w:sz w:val="20"/>
        </w:rPr>
        <w:t>Operating and Financial Review and Prospects</w:t>
      </w:r>
      <w:r>
        <w:rPr>
          <w:sz w:val="20"/>
        </w:rPr>
        <w:t>—</w:t>
      </w:r>
      <w:r>
        <w:rPr>
          <w:i/>
          <w:sz w:val="20"/>
        </w:rPr>
        <w:t>Key Financial and Operating Metrics.</w:t>
      </w:r>
      <w:r>
        <w:rPr>
          <w:sz w:val="20"/>
        </w:rPr>
        <w:t>” We define certain terms used in this Annual Report as follows: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 w:name="z74f366728e2e454aba5e92baab54cf1f"/>
      <w:bookmarkStart w:id="12" w:name="z74f366728e2e454aba5e92baab54cf1f"/>
      <w:bookmarkEnd w:id="1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t>Active buyers” as of any given date means buyers who have ordered a Gig or other services on our platform within the last 12-month period, irrespective of cancellations.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 w:name="zdf6da0340ffa479eaa994dd0a5dfcb7a"/>
      <w:bookmarkStart w:id="14" w:name="zdf6da0340ffa479eaa994dd0a5dfcb7a"/>
      <w:bookmarkEnd w:id="14"/>
    </w:p>
    <w:tbl>
      <w:tblPr>
        <w:tblW w:w="5163" w:type="dxa"/>
        <w:jc w:val="left"/>
        <w:tblInd w:w="0" w:type="dxa"/>
        <w:tblLayout w:type="fixed"/>
        <w:tblCellMar>
          <w:top w:w="0" w:type="dxa"/>
          <w:left w:w="0" w:type="dxa"/>
          <w:bottom w:w="0" w:type="dxa"/>
          <w:right w:w="0" w:type="dxa"/>
        </w:tblCellMar>
      </w:tblPr>
      <w:tblGrid>
        <w:gridCol w:w="38"/>
        <w:gridCol w:w="110"/>
        <w:gridCol w:w="50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left"/>
              <w:rPr/>
            </w:pPr>
            <w:r>
              <w:rPr/>
              <w:t>“</w:t>
            </w:r>
            <w:r>
              <w:rPr/>
              <w:t>Buyers” means users who purchase digital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 w:name="z5665da8caeb544a0b1d7207249e77610"/>
      <w:bookmarkStart w:id="16" w:name="z5665da8caeb544a0b1d7207249e77610"/>
      <w:bookmarkEnd w:id="16"/>
    </w:p>
    <w:tbl>
      <w:tblPr>
        <w:tblW w:w="6813" w:type="dxa"/>
        <w:jc w:val="left"/>
        <w:tblInd w:w="0" w:type="dxa"/>
        <w:tblLayout w:type="fixed"/>
        <w:tblCellMar>
          <w:top w:w="0" w:type="dxa"/>
          <w:left w:w="0" w:type="dxa"/>
          <w:bottom w:w="0" w:type="dxa"/>
          <w:right w:w="0" w:type="dxa"/>
        </w:tblCellMar>
      </w:tblPr>
      <w:tblGrid>
        <w:gridCol w:w="38"/>
        <w:gridCol w:w="110"/>
        <w:gridCol w:w="66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0"/>
              <w:jc w:val="left"/>
              <w:rPr/>
            </w:pPr>
            <w:r>
              <w:rPr/>
              <w:t>“</w:t>
            </w:r>
            <w:r>
              <w:rPr/>
              <w:t>Gig” or “Gigs” means the services offered on the Fiverr marketplace.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 w:name="z41610499709248bdbb933482575e6a38"/>
      <w:bookmarkStart w:id="18" w:name="z41610499709248bdbb933482575e6a38"/>
      <w:bookmarkEnd w:id="1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t>Gross Merchandise Value” or “GMV” means the total value of digital services purchased through our platform, excluding value added tax, goods and services tax, service chargebacks and refunds.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 w:name="z2e1b0d6cd09146c38b1ea7efbfe92273"/>
      <w:bookmarkStart w:id="20" w:name="z2e1b0d6cd09146c38b1ea7efbfe92273"/>
      <w:bookmarkEnd w:id="20"/>
    </w:p>
    <w:tbl>
      <w:tblPr>
        <w:tblW w:w="7038" w:type="dxa"/>
        <w:jc w:val="left"/>
        <w:tblInd w:w="0" w:type="dxa"/>
        <w:tblLayout w:type="fixed"/>
        <w:tblCellMar>
          <w:top w:w="0" w:type="dxa"/>
          <w:left w:w="0" w:type="dxa"/>
          <w:bottom w:w="0" w:type="dxa"/>
          <w:right w:w="0" w:type="dxa"/>
        </w:tblCellMar>
      </w:tblPr>
      <w:tblGrid>
        <w:gridCol w:w="38"/>
        <w:gridCol w:w="110"/>
        <w:gridCol w:w="68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0"/>
              <w:jc w:val="left"/>
              <w:rPr/>
            </w:pPr>
            <w:r>
              <w:rPr/>
              <w:t>“</w:t>
            </w:r>
            <w:r>
              <w:rPr/>
              <w:t>Sellers” or “freelancers” means users who offer Gigs or digital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 w:name="z96616dcab3c741b4897b04a3acce702c"/>
      <w:bookmarkStart w:id="22" w:name="z96616dcab3c741b4897b04a3acce702c"/>
      <w:bookmarkEnd w:id="2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t>Spend per buyer” as of any given date is calculated by dividing our GMV within the last 12-month period by the number of active buyers as of such date.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 w:name="z773481f1cdbe4cc590c195d40ec1c742"/>
      <w:bookmarkStart w:id="24" w:name="z773481f1cdbe4cc590c195d40ec1c742"/>
      <w:bookmarkEnd w:id="24"/>
    </w:p>
    <w:tbl>
      <w:tblPr>
        <w:tblW w:w="9213" w:type="dxa"/>
        <w:jc w:val="left"/>
        <w:tblInd w:w="0" w:type="dxa"/>
        <w:tblLayout w:type="fixed"/>
        <w:tblCellMar>
          <w:top w:w="0" w:type="dxa"/>
          <w:left w:w="0" w:type="dxa"/>
          <w:bottom w:w="0" w:type="dxa"/>
          <w:right w:w="0" w:type="dxa"/>
        </w:tblCellMar>
      </w:tblPr>
      <w:tblGrid>
        <w:gridCol w:w="38"/>
        <w:gridCol w:w="110"/>
        <w:gridCol w:w="9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pPr>
            <w:r>
              <w:rPr/>
              <w:t>“</w:t>
            </w:r>
            <w:r>
              <w:rPr/>
              <w:t>Take rate” for a given period means revenue for such period divided by GMV for such period.</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When we refer in this Annual Report to a specific number of buyers, this represents unique buyers who transact on our platform. We refer to Fiverr Marketplace and Fiverr Pro as our core platform, and our core platform in addition to our additional products as our platform.</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Market and Industry Data</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Unless otherwise indicated, information in this Annual Report concerning economic conditions, our industry, our markets and our competitive position is based on a variety of sources, including information from other independent industry analysts and publications, as well as our own estimates and research.</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Trademarks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proprietary rights to trademarks used in this Annual Report that are important to our business, many of which are registered under applicable intellectual property laws. Solely for convenience, trademarks and trade names referred to in this Annual Report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w:t>
      </w:r>
    </w:p>
    <w:p>
      <w:pPr>
        <w:pStyle w:val="HorizontalLine"/>
        <w:bidi w:val="0"/>
        <w:spacing w:before="200" w:after="200"/>
        <w:jc w:val="left"/>
        <w:rPr/>
      </w:pPr>
      <w:r>
        <w:rPr/>
      </w:r>
    </w:p>
    <w:p>
      <w:pPr>
        <w:pStyle w:val="TextBody"/>
        <w:bidi w:val="0"/>
        <w:spacing w:lineRule="auto" w:line="300" w:before="0" w:after="0"/>
        <w:jc w:val="center"/>
        <w:rPr>
          <w:b/>
          <w:sz w:val="20"/>
        </w:rPr>
      </w:pPr>
      <w:bookmarkStart w:id="25" w:name="CAUTIONARYSTATEMENTREGARD"/>
      <w:bookmarkEnd w:id="25"/>
      <w:r>
        <w:rPr>
          <w:b/>
          <w:sz w:val="20"/>
        </w:rPr>
        <w:t>CAUTIONARY STATEMENT REGARDING FORWARD-LOOKING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This Annual Report estimates and forward-looking statements, principally in the sections entitled Item 3.D. “</w:t>
      </w:r>
      <w:r>
        <w:rPr>
          <w:i/>
          <w:sz w:val="20"/>
        </w:rPr>
        <w:t>Key Information—Risk Factors</w:t>
      </w:r>
      <w:r>
        <w:rPr>
          <w:sz w:val="20"/>
        </w:rPr>
        <w:t>,” Item 4. “</w:t>
      </w:r>
      <w:r>
        <w:rPr>
          <w:i/>
          <w:sz w:val="20"/>
        </w:rPr>
        <w:t>Information on the Company</w:t>
      </w:r>
      <w:r>
        <w:rPr>
          <w:sz w:val="20"/>
        </w:rPr>
        <w:t>,” and Item 5. “</w:t>
      </w:r>
      <w:r>
        <w:rPr>
          <w:i/>
          <w:sz w:val="20"/>
        </w:rPr>
        <w:t xml:space="preserve">Operating and Financial Review and Prospects.” </w:t>
      </w:r>
      <w:r>
        <w:rPr>
          <w:sz w:val="20"/>
        </w:rPr>
        <w:t>In some cases, these forward-looking statements can be identified by words or phrases such as “may,” “might,” “will,” “could,” “would,” “should,” “expect,” “plan,” “anticipate,” “intend,” “seek,” “believe,” “estimate,” “predict,” “potential,” “continue,” “contemplate,” “possible” or similar words. Statements regarding our future results of operations and financial position, growth strategy and plans and objectives of management for future operations, including, among others, expansion in new and existing markets, are forward-looking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without limitation those described under the sections in this Annual Report entitled Item 3.D. “</w:t>
      </w:r>
      <w:r>
        <w:rPr>
          <w:i/>
          <w:sz w:val="20"/>
        </w:rPr>
        <w:t xml:space="preserve">Key Information—Risk Factors” </w:t>
      </w:r>
      <w:r>
        <w:rPr>
          <w:sz w:val="20"/>
        </w:rPr>
        <w:t>and Item 5. “</w:t>
      </w:r>
      <w:r>
        <w:rPr>
          <w:i/>
          <w:sz w:val="20"/>
        </w:rPr>
        <w:t xml:space="preserve">Operating and Financial Review and Prospects” </w:t>
      </w:r>
      <w:r>
        <w:rPr>
          <w:sz w:val="20"/>
        </w:rPr>
        <w:t>and elsewhere in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estimates and forward-looking statements may be influenced by factors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 w:name="zb3f9ae81985640a080c0144f71f6135e"/>
      <w:bookmarkStart w:id="27" w:name="zb3f9ae81985640a080c0144f71f6135e"/>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Adverse macroeconomic conditions can materially adversely affect the Company’s business, results of operations and financial condition, due to impacts on consumer and business spending and demand for our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 w:name="z7799085fd9ea4133800ec1cc51853477"/>
      <w:bookmarkStart w:id="29" w:name="z7799085fd9ea4133800ec1cc51853477"/>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growth depends on our ability to attract and retain a large community of buyers and freelancers, and the loss of our buyers and freelancers, or failure to attract new buyers and freelancers, could materially and adversely affect our business;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 w:name="z1239612b67234ec39b5d9b495813f68c"/>
      <w:bookmarkStart w:id="31" w:name="z1239612b67234ec39b5d9b495813f68c"/>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incurred net losses in the past, and we may not be able to generate sufficient revenue to achieve or maintain profitability;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 w:name="zbebe6917e9d94e4e8a6b4225b4d4ed65"/>
      <w:bookmarkStart w:id="33" w:name="zbebe6917e9d94e4e8a6b4225b4d4ed65"/>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fail to maintain and enhance our brand, our business, results of operations and prospects may be materially and adversely affected;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 w:name="z2df8b453b9124b28b9d87a0eeac7d911"/>
      <w:bookmarkStart w:id="35" w:name="z2df8b453b9124b28b9d87a0eeac7d911"/>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the market for freelancers and the services they offer is not sustained or develops more slowly than we expect, our growth may slow or stall;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 w:name="z73e83e6a8abf45a289cd30d07dc40ac6"/>
      <w:bookmarkStart w:id="37" w:name="z73e83e6a8abf45a289cd30d07dc40ac6"/>
      <w:bookmarkEnd w:id="37"/>
    </w:p>
    <w:tbl>
      <w:tblPr>
        <w:tblW w:w="7458" w:type="dxa"/>
        <w:jc w:val="left"/>
        <w:tblInd w:w="0" w:type="dxa"/>
        <w:tblLayout w:type="fixed"/>
        <w:tblCellMar>
          <w:top w:w="0" w:type="dxa"/>
          <w:left w:w="0" w:type="dxa"/>
          <w:bottom w:w="0" w:type="dxa"/>
          <w:right w:w="0" w:type="dxa"/>
        </w:tblCellMar>
      </w:tblPr>
      <w:tblGrid>
        <w:gridCol w:w="38"/>
        <w:gridCol w:w="110"/>
        <w:gridCol w:w="7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left"/>
              <w:rPr/>
            </w:pPr>
            <w:r>
              <w:rPr/>
              <w:t>if traffic to our website declines for any reason, our growth may slow or stall;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 w:name="z47061ebdf9634ee3a2f7bb786bf2bd89"/>
      <w:bookmarkStart w:id="39" w:name="z47061ebdf9634ee3a2f7bb786bf2bd89"/>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fail to maintain and improve the quality of our platform, we may not be able to attract and retain buyers and freelancers;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 w:name="z4da75bfa75414d808d362824a2e14255"/>
      <w:bookmarkStart w:id="41" w:name="z4da75bfa75414d808d362824a2e14255"/>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face significant competition, which may cause us to suffer from a weakened market position that could materially and adversely affect our results of operations;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2" w:name="z77e0ef546ef84ad1bfee153d83892a46"/>
      <w:bookmarkStart w:id="43" w:name="z77e0ef546ef84ad1bfee153d83892a46"/>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or our third-party partners may experience a security breach, including unauthorized parties obtaining access to our users’ personal or other data, or any other data privacy or data protection compliance issue;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 w:name="z68afba766ce04e0bbb17c5a396122188"/>
      <w:bookmarkStart w:id="45" w:name="z68afba766ce04e0bbb17c5a396122188"/>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changes in laws or regulations relating to data privacy, data protection, or cybersecurity or any actual or perceived failure by us to comply with such laws and regulations or our privacy policies, could materially and adversely affect our business;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6" w:name="zc1b7d6191020419aa44425b3fa88be02"/>
      <w:bookmarkStart w:id="47" w:name="zc1b7d6191020419aa44425b3fa88be02"/>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evolving privacy laws and regulations related to cross-border data transfer restrictions and data localization requirements may limit the use and adoption of our services, expose us to liability or otherwise adversely affect our business;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8" w:name="z17e069a258f74cd4b173c1fd36925806"/>
      <w:bookmarkStart w:id="49" w:name="z17e069a258f74cd4b173c1fd36925806"/>
      <w:bookmarkEnd w:id="49"/>
    </w:p>
    <w:tbl>
      <w:tblPr>
        <w:tblW w:w="9393" w:type="dxa"/>
        <w:jc w:val="left"/>
        <w:tblInd w:w="0" w:type="dxa"/>
        <w:tblLayout w:type="fixed"/>
        <w:tblCellMar>
          <w:top w:w="0" w:type="dxa"/>
          <w:left w:w="0" w:type="dxa"/>
          <w:bottom w:w="0" w:type="dxa"/>
          <w:right w:w="0" w:type="dxa"/>
        </w:tblCellMar>
      </w:tblPr>
      <w:tblGrid>
        <w:gridCol w:w="38"/>
        <w:gridCol w:w="110"/>
        <w:gridCol w:w="92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0"/>
              <w:jc w:val="left"/>
              <w:rPr/>
            </w:pPr>
            <w:r>
              <w:rPr/>
              <w:t>our business may suffer if we do not successfully manage our current and potential future growth;</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0" w:name="ze0b8f42e19f049b58e45b26da422a6f7"/>
      <w:bookmarkStart w:id="51" w:name="ze0b8f42e19f049b58e45b26da422a6f7"/>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user growth and engagement on mobile devices are dependent on decisions and developments in the mobile device industry over which the Company has no control;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2" w:name="z12a6778cc69644b4b19ad2c59dbc4bcc"/>
      <w:bookmarkStart w:id="53" w:name="z12a6778cc69644b4b19ad2c59dbc4bcc"/>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a limited operating history under our current platform and pricing model, which makes it difficult to evaluate our business and prospects and increases the risks associated with your investment, and any future changes to our pricing model could materially and adversely affect our business;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 w:name="zdd2d5e952f6543c79857cee293a4f76e"/>
      <w:bookmarkStart w:id="55" w:name="zdd2d5e952f6543c79857cee293a4f76e"/>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errors, defects or disruptions in our platform could diminish our brand, subject us to liability, and materially and adversely affect our business, prospects, financial condition and results of operations;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 w:name="zde5b74fd1d874f48a4e3697bf8667c61"/>
      <w:bookmarkStart w:id="57" w:name="zde5b74fd1d874f48a4e3697bf8667c61"/>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platform contains open source software components, and failure to comply with the terms of the underlying licenses could restrict our ability to market or operate our platform;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8" w:name="z5728f456e1d245459db450dcdc50916b"/>
      <w:bookmarkStart w:id="59" w:name="z5728f456e1d245459db450dcdc50916b"/>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0" w:name="z807eb9611bbb4acebaa04b4a4034fedf"/>
      <w:bookmarkStart w:id="61" w:name="z807eb9611bbb4acebaa04b4a4034fedf"/>
      <w:bookmarkEnd w:id="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are unable to maintain and expand our scale of operations and generate a sufficient amount of revenue to offset the associated fixed and variable costs, our results of operations may be materially and adversely affected;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 w:name="z3f293f9fc24e43ad946b58481a1d4a87"/>
      <w:bookmarkStart w:id="63" w:name="z3f293f9fc24e43ad946b58481a1d4a87"/>
      <w:bookmarkEnd w:id="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operating results may fluctuate from quarter to quarter, which makes our future results difficult to predict;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4" w:name="z5cfc88463eec4a5ea862f5fc03718fd0"/>
      <w:bookmarkStart w:id="65" w:name="z5cfc88463eec4a5ea862f5fc03718fd0"/>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business is subject to a variety of laws and regulations, both in the United States and internationally, many of which are evolving;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6" w:name="ze32f63c6d4f64e1bb12963acb00af9b5"/>
      <w:bookmarkStart w:id="67" w:name="ze32f63c6d4f64e1bb12963acb00af9b5"/>
      <w:bookmarkEnd w:id="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actual or perceived failure to comply with evolving regulatory frameworks around the development and use of artificial intelligence could adversely affect our business, results of operations, and financial condition;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8" w:name="z2cef0a409edb4e1198cfb466894277db"/>
      <w:bookmarkStart w:id="69" w:name="z2cef0a409edb4e1198cfb466894277db"/>
      <w:bookmarkEnd w:id="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competition for highly skilled technical and other personnel is intense, and as a result we may fail to attract, recruit, retain and develop qualified employees, which could materially and adversely impact our business, financial condition and results of operations.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Many important factors, in addition to the factors described above and in other sections of this Annual Report,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w:t>
      </w:r>
    </w:p>
    <w:p>
      <w:pPr>
        <w:pStyle w:val="HorizontalLine"/>
        <w:bidi w:val="0"/>
        <w:spacing w:before="200" w:after="200"/>
        <w:jc w:val="left"/>
        <w:rPr/>
      </w:pPr>
      <w:r>
        <w:rPr/>
      </w:r>
    </w:p>
    <w:p>
      <w:pPr>
        <w:pStyle w:val="TextBody"/>
        <w:bidi w:val="0"/>
        <w:spacing w:lineRule="auto" w:line="300" w:before="0" w:after="0"/>
        <w:jc w:val="center"/>
        <w:rPr>
          <w:b/>
          <w:sz w:val="20"/>
        </w:rPr>
      </w:pPr>
      <w:bookmarkStart w:id="70" w:name="PARTI"/>
      <w:bookmarkEnd w:id="70"/>
      <w:r>
        <w:rPr>
          <w:b/>
          <w:sz w:val="20"/>
        </w:rPr>
        <w:t>PART I</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 Identity of Directors, Senior Management and Advisers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2. Offer Statistics and Expected Timetable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3. Key Information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1" w:name="z9c34116b2d2b44b184631aaea2e4bca1"/>
      <w:bookmarkStart w:id="72" w:name="z9c34116b2d2b44b184631aaea2e4bca1"/>
      <w:bookmarkEnd w:id="72"/>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lineRule="auto" w:line="300" w:before="0" w:after="0"/>
              <w:jc w:val="left"/>
              <w:rPr>
                <w:b/>
              </w:rPr>
            </w:pPr>
            <w:bookmarkStart w:id="73" w:name="A.3"/>
            <w:bookmarkEnd w:id="73"/>
            <w:r>
              <w:rPr>
                <w:b/>
              </w:rPr>
              <w:t>A.</w:t>
            </w:r>
          </w:p>
        </w:tc>
        <w:tc>
          <w:tcPr>
            <w:tcW w:w="1130" w:type="dxa"/>
            <w:tcBorders/>
            <w:vAlign w:val="center"/>
          </w:tcPr>
          <w:p>
            <w:pPr>
              <w:pStyle w:val="TableContents"/>
              <w:bidi w:val="0"/>
              <w:spacing w:lineRule="auto" w:line="300" w:before="0" w:after="0"/>
              <w:jc w:val="left"/>
              <w:rPr>
                <w:b/>
              </w:rPr>
            </w:pPr>
            <w:r>
              <w:rPr>
                <w:b/>
              </w:rPr>
              <w:t>[Reserved]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4" w:name="z6cc42b15fff643d7becd160e4bc50fc0"/>
      <w:bookmarkStart w:id="75" w:name="z6cc42b15fff643d7becd160e4bc50fc0"/>
      <w:bookmarkEnd w:id="75"/>
    </w:p>
    <w:tbl>
      <w:tblPr>
        <w:tblW w:w="3565" w:type="dxa"/>
        <w:jc w:val="left"/>
        <w:tblInd w:w="0" w:type="dxa"/>
        <w:tblLayout w:type="fixed"/>
        <w:tblCellMar>
          <w:top w:w="0" w:type="dxa"/>
          <w:left w:w="0" w:type="dxa"/>
          <w:bottom w:w="0" w:type="dxa"/>
          <w:right w:w="0" w:type="dxa"/>
        </w:tblCellMar>
      </w:tblPr>
      <w:tblGrid>
        <w:gridCol w:w="260"/>
        <w:gridCol w:w="3305"/>
      </w:tblGrid>
      <w:tr>
        <w:trPr/>
        <w:tc>
          <w:tcPr>
            <w:tcW w:w="260" w:type="dxa"/>
            <w:tcBorders/>
            <w:vAlign w:val="center"/>
          </w:tcPr>
          <w:p>
            <w:pPr>
              <w:pStyle w:val="TableContents"/>
              <w:bidi w:val="0"/>
              <w:spacing w:lineRule="auto" w:line="300" w:before="0" w:after="0"/>
              <w:jc w:val="left"/>
              <w:rPr>
                <w:b/>
              </w:rPr>
            </w:pPr>
            <w:bookmarkStart w:id="76" w:name="B.3"/>
            <w:bookmarkEnd w:id="76"/>
            <w:r>
              <w:rPr>
                <w:b/>
              </w:rPr>
              <w:t>B.</w:t>
            </w:r>
          </w:p>
        </w:tc>
        <w:tc>
          <w:tcPr>
            <w:tcW w:w="3305" w:type="dxa"/>
            <w:tcBorders/>
            <w:vAlign w:val="center"/>
          </w:tcPr>
          <w:p>
            <w:pPr>
              <w:pStyle w:val="TableContents"/>
              <w:bidi w:val="0"/>
              <w:spacing w:lineRule="auto" w:line="300" w:before="0" w:after="0"/>
              <w:jc w:val="left"/>
              <w:rPr>
                <w:b/>
              </w:rPr>
            </w:pPr>
            <w:r>
              <w:rPr>
                <w:b/>
              </w:rPr>
              <w:t>Capitalization and Indebtedness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7" w:name="z506688dc8d5345f19bd987cc403e1aaa"/>
      <w:bookmarkStart w:id="78" w:name="z506688dc8d5345f19bd987cc403e1aaa"/>
      <w:bookmarkEnd w:id="78"/>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lineRule="auto" w:line="300" w:before="0" w:after="0"/>
              <w:jc w:val="left"/>
              <w:rPr>
                <w:b/>
              </w:rPr>
            </w:pPr>
            <w:bookmarkStart w:id="79" w:name="C.3"/>
            <w:bookmarkEnd w:id="79"/>
            <w:r>
              <w:rPr>
                <w:b/>
              </w:rPr>
              <w:t>C.</w:t>
            </w:r>
          </w:p>
        </w:tc>
        <w:tc>
          <w:tcPr>
            <w:tcW w:w="4325" w:type="dxa"/>
            <w:tcBorders/>
            <w:vAlign w:val="center"/>
          </w:tcPr>
          <w:p>
            <w:pPr>
              <w:pStyle w:val="TableContents"/>
              <w:bidi w:val="0"/>
              <w:spacing w:lineRule="auto" w:line="300" w:before="0" w:after="0"/>
              <w:jc w:val="left"/>
              <w:rPr>
                <w:b/>
              </w:rPr>
            </w:pPr>
            <w:r>
              <w:rPr>
                <w:b/>
              </w:rPr>
              <w:t>Reasons for the Offer and Use of Proceeds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0" w:name="z7aa5145b39434677b3296ae51173d888"/>
      <w:bookmarkStart w:id="81" w:name="z7aa5145b39434677b3296ae51173d888"/>
      <w:bookmarkEnd w:id="81"/>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lineRule="auto" w:line="300" w:before="0" w:after="0"/>
              <w:jc w:val="left"/>
              <w:rPr>
                <w:b/>
              </w:rPr>
            </w:pPr>
            <w:bookmarkStart w:id="82" w:name="D.3"/>
            <w:bookmarkEnd w:id="82"/>
            <w:r>
              <w:rPr>
                <w:b/>
              </w:rPr>
              <w:t>D.</w:t>
            </w:r>
          </w:p>
        </w:tc>
        <w:tc>
          <w:tcPr>
            <w:tcW w:w="1325" w:type="dxa"/>
            <w:tcBorders/>
            <w:vAlign w:val="center"/>
          </w:tcPr>
          <w:p>
            <w:pPr>
              <w:pStyle w:val="TableContents"/>
              <w:bidi w:val="0"/>
              <w:spacing w:lineRule="auto" w:line="300" w:before="0" w:after="0"/>
              <w:jc w:val="left"/>
              <w:rPr>
                <w:b/>
              </w:rPr>
            </w:pPr>
            <w:r>
              <w:rPr>
                <w:b/>
              </w:rPr>
              <w:t>Risk Factors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i/>
          <w:sz w:val="20"/>
        </w:rPr>
      </w:pPr>
      <w:r>
        <w:rPr>
          <w:i/>
          <w:sz w:val="20"/>
        </w:rPr>
        <w:t>You should carefully consider the risks described below before making an investment decision. Our business, financial condition or results of operations could be materially and adversely affected by any of these risks. The trading price and value of our ordinary shares could decline due to any of these risks,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faced by us as described below and elsewhere in this Annual Report.</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Risks relating to our business and industry</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Adverse macroeconomic conditions can materially adversely affect the Company’s business, results of operations and financial condition, due to impacts on consumer and business spending and demand for our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Adverse macroeconomic conditions, including recent inflation, slower growth or recession, changes to fiscal and monetary policy, tighter credit, higher interest rates, high unemployment, currency fluctuations, increased geopolitical risks such as the current wars between Israel and Hamas and between Russia and Ukraine, have affected the U.S. and global economy during 2023 and can adversely impact consumer and businesses confidence and spending and materially adversely affect demand for the digital services offered on the Company’s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present conditions and state of the U.S and global economies make it difficult to predict whether, when and to what extent a recession has occurred or will occur in the near future. In the event of an occurring or worsening recession, as the case may be, in which the U.S. economy contracts, our business may be negatively impacted, accordingly due to less spending and reduced demand for our services. The Company has taken significant actions to shore up its resources and means in order to weather a potential downturn in the economy; however, should a recession occur, or worsen in the future, one may expect either scenario to have an adverse effect on the business of the Company.</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growth depends on our ability to attract and retain a large community of buyers and freelancers, and the loss of our buyers and freelancers, or failure to attract new buyers and freelancers, could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size of our community of users, including both buyers and freelancers, is critical to our success. While we have experienced strong growth in the number of active buyers on our platform since inception, the rate of growth in recent years has been volatile and could differ significantly from one year to another. Many factors impact the buyer growth, and we cannot accurately predict or guarantee active buyer growth rates in the future. Freelancers have many different ways of marketing their services and securing buyers, including meeting and contacting prospective buyers through other platforms, advertising to prospective buyers online or offline through other methods, signing up for online or offline third-party agencies or staffing firms or finding employment full-time or part-time through an agency or directly with a business. Buyers have similarly diverse options to find freelancers, such as engaging freelancers directly, finding freelancers through other online or offline platforms or through staffing firms and agencies or hiring temporary, full-time, or part-time employees. Any decrease in the attractiveness of our platform relative to these other options available to buyers and freelancers could lead to decreased engagement on our platform, which could result in a drop in revenue on our platform. In addition, a drop in engagement from buyers, including due to a general decrease in spending or otherwise as a result of a global recession, could lead to diminished network effects and decrease the attractiveness of our platform to freelancers. If we fail to attract new freelancers or our existing freelancers decrease their use of or cease using our platform, the quality or types of services provided by freelancers that use our platform are not satisfactory to buyers, or freelancers increase their fees for services beyond the level that buyers are willing to pay, buyers may decrease their use of, or cease using, our platform.</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Key factors in attracting and retaining buyers include our ability to grow our brand awareness, attract and retain high-quality freelancers and increase the quantity and quality of Gigs posted on our core platform. A key factor in attracting and retaining freelancers, in turn, is maintaining and increasing the number of buyers using our platform. Thus, achieving growth in our community of buyers and freelancers may require us to increasingly engage in sophisticated and costly sales and marketing efforts that may not result in additional users. We may also need to modify our pricing model to attract and retain such users.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Users can generally decide to cease using our platform at any time. Users may stop using our platform and related services if the quality of the user experience on our platform, including our support capabilities in the event of a problem, does not meet their expectations or keep pace with the quality of the user experience generally offered by competitive products and services. Users may also choose to cease using our platform if they perceive that our pricing model is not in line with the value they derive from our platform or for other reasons. In addition, expenditures by buyers may be cyclical and be affected by adverse changes in overall economic conditions or budgeting patterns. If we fail to attract new users or fail to maintain existing users, our revenue may grow more slowly than expected and our business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have incurred net losses in the past, and may not be able to generate sufficient revenue to achieve or maintain profitability.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During 2023, we incurred a $15.1 million operating loss, however, we achieved net income of $3.7 million. We expect to continue the development and expansion of our business, and we anticipate additional costs in connection with legal, accounting and other administrative expenses related to operating as a public company. While our revenue has grown in recent years and we achieved positive net income in the second half of fiscal 2023, if our revenue declines or fails to grow at a rate sufficient to offset increases in our operating expenses, or interest rate will decrease, we will not be able to achieve and maintain profitability in future periods. As a result, we may generate losses. We cannot ensure that we will achieve or maintain profitability in the future.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If we fail to maintain and enhance our brand, our business, results of operations and prospects may be materially and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believe that maintaining and enhancing our brand are of significant importance to the success of our business. A well-recognized brand is critical to increasing the number and the level of engagement of freelancers and, in turn, enhancing our attractiveness to buyers. Successful promotion of our brand and our platform depends on, among other things, the effectiveness of our marketing efforts, our ability to provide a reliable, trustworthy and useful platform, the perceived value of our platform and our ability to provide quality support. In order to maintain and enhance our brand, we will need to continuously invest in marketing programs that may not be successful in achieving meaningful awareness levels. However, brand promotion activities may not yield increased revenue, and even if they do, the increased revenue may not offset the expenses we incur in building and maintaining our brand. We have conducted and may continue to conduct various marketing and brand promotion activities. We cannot assure you, however, that these activities will be successful or that we will be able to achieve the brand awareness we expect. In addition, our competitors may increase the intensity of their marketing campaigns, which may force us to increase our advertising spend to maintain our brand awareness.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addition, any negative publicity relating to our platform, regardless of its veracity, could harm our brand. In particular, in recent years, increasing attention has been given to corporate activities related to environmental, social and governance (ESG) matters including increasing attention on climate change and diversity, equity and inclusion matters, from stakeholders with varied views on these topics. Companies and brands that do not adapt to or comply with expectations, standards, and regulations on ESG matters as they continue to evolve, which are perceived to have not responded appropriately in relation to ESG issues, or which are alleged to not achieve the ESG standards, targets or commitments that they publicly state (often referred to as “greenwashing”), may suffer from reputational damage. Regulation (including emerging regulation) may require additional ESG public disclosures and this may increase the risk of such damage. In addition, any unfavourable media coverage or negative publicity about our industry or Company and any errors, defects, disruptions, security vulnerabilities, abuse of our system, or other performance problems with our products and platforms may also cause us reputational damage. If our brand is harmed due to negative publicity we may not be able to grow or maintain our freelancer base, and our business, prospects, financial condition and results of operations could be materially and adversely affected. Further, activities of users that are deemed to be hostile, offensive or inappropriate to other users, including users acting under false or inauthentic identities, could damage our brand or harm our ability to expand our user base. We do not monitor or review the appropriateness of the content generated by users or have control over the activities in which our users engage. While we have adopted policies regarding illegal or offensive use of our platform by our users and retain authority to remove user generated content that violates our policies, users could nonetheless engage in these activities. The safeguards we have in place may not be sufficient to avoid harm to our brand, especially if such hostile, offensive or inappropriate use was high profile.</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8</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If the market for freelancers and the services they offer is not sustained or develops more slowly than we expect, our growth may slow or stall.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market for freelancers and the services they offer is relatively new, rapidly evolving and unproven. Our future success will depend in large part on the continued growth and expansion of this market and the willingness of businesses to engage freelancers to provide services. It is difficult to predict the size or rate of expansion of this market, or the extent to which technological or other developments will impact the overall demand for freelancers. Further, many businesses may be unwilling to engage freelancers for a variety of reasons, including perceived negative connotations with outsourcing work or security concerns. If the market for freelancers and the services they offer does not achieve widespread adoption, or there is a reduction in demand for freelancer services, particularly demand for information technology services, including as a result of macroeconomic conditions related to a global recession or otherwise,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If traffic to our websites declines for any reason, our growth may slow or stall.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ability to maintain the number of visitors directed to our websites is not entirely within our control. We depend in part on various internet search engines and other channels to direct a significant number of users to our website. Search engine companies change their natural search engine algorithms periodically, and our ranking in natural searches may be adversely affected by those changes, as occurred from time to time. Search engine companies may also determine that we are not in compliance with their guidelines and may consequently penalize us in their algorithms as a result. If search engines change or penalize us with their algorithms, terms of service, display or featuring of search results, we may be unable to cost-effectively drive users to our platform. Additionally, our competitors’ search engine optimization efforts may result in their websites receiving a higher search result page ranking than ours. This could decrease user engagement on our website and adversely affect the growth in our user base, and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If we fail to maintain and improve the quality of our platform, we may not be able to attract and retain buyers and freelancers.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markets in which we operate are characterized by constant change and innovation. In order to continue and evolve rapidly and in order to satisfy both buyers and freelancers, we need to continue to improve their user experience as well as innovate and introduce features and services that users find useful and that cause them to use our platform more frequently. This includes improving our technology to optimize search results, tailoring our database to additional geographic and market segments and improving the user-friendliness of our platform and our ability to provide high-quality support. Our users depend on our support organization to resolve issues relating to our platform. Our ability to provide effective support is largely dependent on our ability to attract and retain employees who are well versed in our platform.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to existing and prospective users. In addition, as our employees are working from home for part of the week as a result of our hybrid model, our information technologies and support systems may be particularly strained.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addition, we need to adapt, expand and improve our platform and user interfaces to keep up with changing user preferences. We invest substantial resources in researching and developing new features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For example, with the growing propensity of our users to use mobile devices as their main Gig searching and management devices, we will need to continue modifying and updating our mobile apps to successfully manage the transition of our users to mobile devices. Additionally, the time, money, energy and other resources we dedicate to developing new features or enhancements to our platform may be greater than the short-term, and potentially the total, returns from these new offerings.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9</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face significant competition, which may cause us to suffer from a weakened market position that could materially and adversely affect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Successful execution of our strategy depends on our ability to attract and retain users, expand the market for our platform, maintain a technological edge and provide value to our users. We face competition from a number of online and offline platforms and competitors that offer freelance services as part of their broader services portfolio. Our main competitors fall into the following categories: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3" w:name="z09ab233919234352aaf2d38c58f443d6"/>
      <w:bookmarkStart w:id="84" w:name="z09ab233919234352aaf2d38c58f443d6"/>
      <w:bookmarkEnd w:id="84"/>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pPr>
            <w:r>
              <w:rPr/>
              <w:t>traditional contingent workforce and staffing service providers and other outsourcing providers;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5" w:name="z2330cf6925ea4acea9ef8ae606182246"/>
      <w:bookmarkStart w:id="86" w:name="z2330cf6925ea4acea9ef8ae606182246"/>
      <w:bookmarkEnd w:id="86"/>
    </w:p>
    <w:tbl>
      <w:tblPr>
        <w:tblW w:w="6918" w:type="dxa"/>
        <w:jc w:val="left"/>
        <w:tblInd w:w="0" w:type="dxa"/>
        <w:tblLayout w:type="fixed"/>
        <w:tblCellMar>
          <w:top w:w="0" w:type="dxa"/>
          <w:left w:w="0" w:type="dxa"/>
          <w:bottom w:w="0" w:type="dxa"/>
          <w:right w:w="0" w:type="dxa"/>
        </w:tblCellMar>
      </w:tblPr>
      <w:tblGrid>
        <w:gridCol w:w="38"/>
        <w:gridCol w:w="110"/>
        <w:gridCol w:w="6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0"/>
              <w:jc w:val="left"/>
              <w:rPr/>
            </w:pPr>
            <w:r>
              <w:rPr/>
              <w:t>online freelancer platforms that serve a diverse range of skill categories;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7" w:name="z245b13aedbb1493a98ef132b817b57fe"/>
      <w:bookmarkStart w:id="88" w:name="z245b13aedbb1493a98ef132b817b57fe"/>
      <w:bookmarkEnd w:id="8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other online and offline providers of products and services that allow freelancers to find work or to advertise their services, including personal and professional social networks, employment marketplaces, recruiting websites, job boards, classified ads and other traditional means of finding work;</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9" w:name="z3291d4419fa548299f5bfed040982764"/>
      <w:bookmarkStart w:id="90" w:name="z3291d4419fa548299f5bfed040982764"/>
      <w:bookmarkEnd w:id="9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software and business services companies focused on talent acquisition, management or staffing management products and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1" w:name="z992d954ae26b4a7584cb5b5f1dfe1dab"/>
      <w:bookmarkStart w:id="92" w:name="z992d954ae26b4a7584cb5b5f1dfe1dab"/>
      <w:bookmarkEnd w:id="9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businesses that provide specialized, professional services, including consulting, accounting, marketing and information technology services;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3" w:name="z4cb41dc09f264cb98070a9035722bce4"/>
      <w:bookmarkStart w:id="94" w:name="z4cb41dc09f264cb98070a9035722bce4"/>
      <w:bookmarkEnd w:id="94"/>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left"/>
              <w:rPr/>
            </w:pPr>
            <w:r>
              <w:rPr/>
              <w:t>software companies focused on providing technological solutions driven by artificial intelligence.</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Internationally, we compete in most countries against online and offline channels and products and services with a local presence. These local competitors might have greater brand recognition than we have in their local country and a stronger understanding of the local culture and commerce. They may also offer their products and services in local languages that we do not currently offer. As our business grows internationally, we may increasingly compete with these local and regional companies.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addition, well-established internet companies, social networking websites and career-related internet portals have entered or may decide to target the market for freelance services, and some of these companies have launched products and services that directly compete with our platform. These or other powerful companies that have extensive and loyal user bases in the geographic markets where we operate may decide to directly target our users, thereby intensifying competition in the freelance services market. Although professional social networking businesses with online recruitment functions historically have not had significant market positions in the market for freelance services, these businesses may dedicate resources to expand their operations and as a result, become a significant competitive threat in the future. Social networks may benefit from access to large pools of potential purchasers of freelance services and a broad range of user information that freelancers could leverage to tailor their services.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Current competitors may also consolidate or be acquired by an existing or prospective competitor, which could result in the emergence of a stronger competitor, leading to a potential loss of our market share. There can be no assurances that we will maintain our strong position among freelance services marketplaces, particularly if our key competitors consolidate or if large search engines, social media companies or other online platforms successfully leverage their large user bases to penetrate our markets. In addition, competitors that have not typically participated online may establish an online presence on their own or with our existing competitors, which may create new competitors or strengthen our existing competitors.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w:t>
      </w:r>
    </w:p>
    <w:p>
      <w:pPr>
        <w:pStyle w:val="HorizontalLine"/>
        <w:bidi w:val="0"/>
        <w:spacing w:before="200" w:after="200"/>
        <w:jc w:val="left"/>
        <w:rPr/>
      </w:pPr>
      <w:r>
        <w:rPr/>
      </w:r>
    </w:p>
    <w:p>
      <w:pPr>
        <w:pStyle w:val="TextBody"/>
        <w:bidi w:val="0"/>
        <w:spacing w:lineRule="auto" w:line="300" w:before="0" w:after="0"/>
        <w:ind w:left="0" w:right="0" w:firstLine="709"/>
        <w:jc w:val="left"/>
        <w:rPr>
          <w:sz w:val="20"/>
        </w:rPr>
      </w:pPr>
      <w:r>
        <w:rPr>
          <w:sz w:val="20"/>
        </w:rPr>
        <w:t>Many of our current and potential competitors, both online and offline, enjoy substantial competitive advantages, such as greater name recognition, longer operating histories, greater financial, technical and other resources, and, in some cases, the ability to rapidly combine online platforms with traditional staffing and contingent worker solutions. These companies may use these advantages to offer solutions similar to our platform at a lower price, develop different products and services to compete with our platform, spend more on advertising and brand marketing, invest more in research and development, or respond more quickly and effectively than we do to new or changing opportunities, technologies, standards, regulatory conditions or user preferences or requirements. As a result, our users may decide to shift from utilizing our platform to utilizing our competitors’ products, services and solutions.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Furthermore, the rapid advancements in artificial intelligence (AI) present both opportunities and challenges for our industry. There is a risk that the evolving AI landscape could reduce the demand for some of our simple service offerings within the writing, translation, and graphic and design verticals. At the same time, our recent initiatives to provide services that support AI technology could create additional demand for new services that were not previously on our marketplace. As we continue to invest in and expand our AI related services, we are fully aware of the complexities and the competitive nature of this area. We are also attentive to the evolving regulatory environment surrounding AI. Our ability to successfully adapt and incorporate AI technologies and related services into our product offerings in a timely, effective, and compliant manner is critical. Failure to do so may result in a competitive disadvantage, potentially reducing the demand for our services and adversely affecting our business performance.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or our third-party partners may experience a security breach, including unauthorized parties obtaining access to our users’ personal or other data, or any other data privacy or data protection compliance issue.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business involves the storage, processing and transmission of users’ proprietary, confidential and personal data as well as the use of third-party partners who store, process and transmit users’ proprietary, confidential and personal data. We also maintain certain other proprietary and confidential data relating to our business and personal data of our personnel and job applicants. Any security breach or incident that we experience could result in unauthorized access to, misuse of, or unauthorized acquisition of our or our users’ data, the loss, corruption, or alteration of this data, interruptions in our operations, or damage to our computers or systems or those of our users. We have experienced such cybersecurity incidents in the past and may experience incidents in the future. Furthermore, cyberattacks and security incidents are expected to accelerate in both frequency and impact as the use of AI increases and attackers become increasingly sophisticated and utilize tools and techniques that are designed to circumvent controls, avoid detection, and remove or obfuscate forensic evidence.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Any such incidents could expose us to claims, litigation, regulatory or other governmental investigations, administrative fines and potential liability. An increasing number of online services have disclosed breaches of their security,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and our third-party partners may be unable to anticipate these techniques or implement adequate preventative measures. If an actual or perceived breach of our or our third-party partners’ security occurs, public perception of the effectiveness of our security measures and brand could be harmed, and we could lose users. Data security breaches and other cybersecurity incidents may also result from non-technical means, for example, actions by employees or contractors. Any compromise of our or our third-party partners’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limited to the amounts covered by our insurance. Any such compromise could also result in damage to our brand and a loss of confidence in our security and privacy or data protection measures.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and our third-party partners’ systems may be vulnerable to computer viruses and other malicious software, physical or electronic break-ins, or weakness resulting from intentional or unintentional actions by us, our third-party partners or our service providers, as well as similar disruptions that could make all or portions of our website or apps unavailable for periods of time. While we currently employ various antivirus and computer protection software in our operations, we cannot assure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11</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Further, we may need to expend significant resources to protect against, and to address issues created by, security breaches and other incidents.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users’ confidential, proprietary or personal data, or the belief that any of these have occurred, could damage our reputation and expose us to a risk of loss or litigation and possible liability. Significant unavailability of our platform due to attacks could cause users to cease using our platform and materially and adversely affect our business, prospects, financial condition and results of operations. Although we maintain cybersecurity liability insurance, we cannot be certain that our coverage will be adequate for liabilities actually incurred or will continue to be available to us on reasonable terms, or at all.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Many jurisdictions have or are considering enacting privacy or data protection laws or regulations relating to the collection, use, storage, transfer, disclosure and/or other processing of personal data. Such laws and regulations may include data residency or data localization requirements (which generally require that certain types of data collected within a certain country be stored and processed within that country), data export restrictions or international transfer laws (which prohibit or impose conditions upon the transfer of such data from one country to another), requirements that companies implement privacy or data protection and security policies, or requirements that companies grant individuals certain rights, such as the right to access, correct and delete personal data stored or maintained by such companies, be informed of security breaches that affect their personal data or provide consent to use their personal data for other purposes. While we have implemented various measures intended to enable us to comply with applicable privacy or data protection laws, regulations and contractual obligations, these measures may not always be effective and do not guarantee compliance. In addition, privacy or data protection laws and regulations may be modified, interpreted and applied in an inconsistent manner from one jurisdiction to another, and may conflict with one another, other requirements or legal obligations, or our practices. Further, the existence and need to comply in certain markets could impact our ability to offer our platform in those markets (without taking additional compliance steps). Cultural norms around privacy or data protection also vary from country to country and can drive a need to localize or customize certain features of our platform in order to address varied privacy or data protection concerns, which can add cost and time to our development of new features and platform enhancements.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Changes in laws or regulations relating to data privacy, data protection, or cybersecurity or any actual or perceived failure by us to comply with such laws and regulations or our privacy policies, could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receive, collect, store, process, transfer and use personal data and other user data. The effectiveness of our technology, including our AI and platforms, and our ability to offer our platform to users rely on the collection, storage and use of this data concerning freelancers and other users, including personally identifying or other sensitive data. We have legal and contractual obligations regarding the protection of confidentiality and appropriate use and protection of certain data, including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are subject to differing interpretations, and may be inconsistent among jurisdictions or conflict with other legal and regulatory requirements. We are also subject to the terms of our privacy policies and certain contractual obligations to third parties related to privacy, data protection and data security. We are committed to complying with our policies and applicable laws, regulations, contractual obligations and other legal obligations relating to privacy, data protection and data security to the extent possible. However, the regulatory framework for privacy, data protection and data security worldwide is changing constantly and is likely to remain uncertain and complex for the foreseeable future, and therefore it is possible that these or other actual or alleged obligations may be interpreted and applied in a manner that we do not anticipate or that is inconsistent from one jurisdiction to another, including across the various jurisdictions in which we operate remotely, and may conflict with other legal obligations or our practices.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12</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For example, in the European Economic Area, or the EEA, and the UK, we are subject to the European Union General Data Protection Regulation, or EU GDPR, and to the United Kingdom general Data Protection Regulation and Data Protection Act 2018, together the UK GDPR (the EU GDPR and UK GDPR together referred to as the “GDPR”). The GDPR imposes stringent data protection compliance requirements and provides for significant penalties for noncompliance in the EEA and UK. The GDPR created new compliance obligations applicable to our business and users, which could cause us to change our business practices, and increases penalties for noncompliance. Since we are subject to the supervision of relevant data protection authorities under both the EU GDPR and the UK GDPR, we could be fined under each of those regimes independently in respect of the same breach (including possible fines of up to the greater of €20 million / £17.5 million and 4% of our global annual turnover for the preceding financial year for the most serious violations, as well as the right to compensation for financial or non-financial damages claimed by any individuals under Article 82 of the GDPR and requirements to change our processing operations). In addition to fines, a breach of the GDPR may result in regulatory investigations, reputational damage, orders to cease/change our data processing activities, enforcement notices, assessment notices (for a compulsory audit) and/or civil claims (including class actions). We are taking steps to comply with the GDPR, but this is an ongoing compliance process.  We are also subject to evolving EU and UK privacy laws on cookies, tracking technologies and e-marketing. Recent European court and regulator decisions are driving increased attention to cookies and tracking technologies. If the trend of increasing enforcement by regulators of the strict approach to opt-in consent for all but essential use cases, as seen in recent guidance and decisions continues,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cease/change our use of such technologies, as well as civil claims including class actions, and reputational damage.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Additionally, we are also subject to the California Consumer Privacy Act, or the CCPA, as amended by the California Privacy Rights Act, or the CPRA, which entered into substantial effect on January 1, 2023. The CCPA imposes new operational requirements for companies, including new data privacy rights for consumers, increasing regulation on online advertising, creating a new California Privacy Protection Agency (CPPA) to enforce the law and adding greater transparency standards for privacy policies. Lack of compliance with the CCPA and its requirements could result in enforcement actions, litigation, fines and penalties (up to $7,500 per intentional violation and $2,500 per other violation). California consumers also have a private right of action under the CCPA for certain data breaches and can recover civil damages of up to $750 per incident, per consumer or actual damages, whichever is greater. In addition, over a dozen other states have passed or are considering similar legislation, which has created and will continue to create additional compliance obligations and risks. More generally, some observers have noted the CCPA and other state laws could mark the beginning of a trend toward more stringent United States federal privacy legislation, which could increase our potential liability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Moreover, the CCPA and other state laws, as well as other legal and regulatory developments are making it easier for individuals protected by those laws to opt-out of having their personal data processed and disclosed to third parties through various opt-out mechanisms, and more generally, provide them more control of their data,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or the FTC, to enforcing data privacy under the FTC Act Section 5 of the Unfair and Deceptive Acts framework. In addition, failure to comply with the Israeli Privacy Protection Law, 1981, or the Israeli Privacy Law, and its regulations as well as the guidelines of the Israeli Privacy Protection Authority, may expose us to administrative fines, civil claims (including class actions) and in certain cases criminal liability. Current pending amendment to the Israeli Privacy Law is expected to enhance fines and sanctions for breaching the Israeli Privacy Law and to strengthen the enforcement capacity of the Israeli Privacy Protection Authority.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Further,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Additionally, certain actions of our users that are deemed to be a misuse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we were found in violation of any applicable privacy or data protection laws or regulations, our business may be materially and adversely affected and we would likely have to change our personal data processing activities, internal procedures or even our business practices and potentially the services and features available through our platform. In addition, these laws and regulations could impose significant costs on us and could make it more difficult for us to use our current technology to promote certain Gigs and connect freelancers with buyers. In addition, if a breach of data security were to occur, or other violation of privacy or data protection laws and regulations were to be alleged, solutions may be perceived as less desirable and our business, prospects, financial condition and results of operations could be materially and adversely affected. Finally, 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liability attributed to us could adversely affect our brand, reputation, our ability to expand our user base and our financial position.</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Evolving privacy laws and regulations related to cross-border data transfer restrictions and data localization requirements may limit the use and adoption of our services, expose us to liability or otherwise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Certain data privacy legislation restricts the cross-border transfer of personal data and some countries introduced data localization into their laws. Specifically, the GDPR and other European and UK data protection laws generally prohibit the transfer of personal data from Europe, including the European Economic Area, United Kingdom and Switzerland, to third party countries, unless the transfer is to a country deemed to provide adequate protection (such as Israel, which was re-affirmed by the EU Commission on January 15, 2024, confirming the adequacy of the level of protection of personal data in Israel as an “adequate” country) or the parties to the transfer have implemented specific safeguards to protect the transferred personal data. Where we transfer personal data outside the European Economic Area to a country that is not deemed to be “adequate,” we rely on transfer mechanisms available under applicable privacy law.</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also subject to EU and UK rules with respect to cross-border transfers of personal data out of the EEA and UK (respectively), and recent legal developments and guidance have created complexity and uncertainty regarding transfers of personal data from the EEA and UK to other countries, including the United States. These recent developments require us to review and amend the legal mechanisms by which we make and/or receive personal data transfers to/in the U.S. and other countries outside of the EEA and UK, and create uncertainty and increase the risk around our international data transfers and operations. As the enforcement supervisory authorities issue further guidance on personal data export mechanisms, including circumstances where certain data transfer mechanism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business may suffer if we do not successfully manage our current and potential future growth.</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grown significantly in scale since inception, and we intend to continue to expand the scope and geographic reach of our platform. Our anticipated future growth will likely place significant demands on our management and operations. Our success in managing our growth will depend, to a significant degree, on the ability of our executive officers and other members of senior management to operate effectively, and on our ability to improve and develop our financial and management information systems, controls and procedures. In addition, we will likely have to successfully adapt our existing systems and introduce new systems, expand, train and manage our employees and improve and expand our marketing capabilities.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we are unable to properly and prudently manage our operations as they grow or if the quality of our platform or support deteriorates due to mismanagement, our brand name and reputation could be severely harmed, and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14</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Our user growth and engagement on mobile devices are dependent on decisions and developments in the mobile device industry over which the Company has no control.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growing portion of our users access our platform through mobile devices. The Company’s ability to maintain and grow its business will be impaired if mobile connected devices, mobile operating systems, networks, standards and content distribution channels, which are run by operating system providers and app stores, develop in ways that prevent the Company’s products and services from being delivered to their users.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Parties that control operating systems, such as Apple or Google frequently introduce new technology, and from time to time, they may introduce new operating systems or modify existing ones. Further, the Company and its customers are also subject to the policies, practices, guidelines, certifications and terms of service of such parties’ platforms on which we and our customers create, run and monetize applications and content. These policies, guidelines and terms of service govern the promotion, distribution, content and operation generally of applications and content available through such parties. The parties that control the operating systems have broad discretion to change and interpret their terms of service, guidelines and policies, and those changes may have an adverse effect on us or our customers’ ability to use our services. A party that controls the operating system may also change its fee structure, add fees associated with access to and use of its platform or app store, alter how customers are able to advertise and monetize on their platform, change how the personal or other information of its users is made available to application developers on their platform, limit the use of personal information and other data for advertising purposes or restrict how users can share information on their platform or across other platforms. If any parties that control operating systems, including either Android or iOS, stop providing us with access to their platform or infrastructure, fail to provide reliable access, cease operations, modify or introduce new systems or otherwise terminate services, the delay caused by qualifying and switching to other operating systems could be time consuming and costly and could materially and adversely affect our business, financial condition and results of operations. Any limitation on or discontinuation of us or our customers’ access to any mobile operating system platform or app store could materially and adversely affect our business, financial condition, results of operations or otherwise require us to change the way we conduct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Network carriers, such as Verizon, AT&amp;T, Sprint, as well as other domestic and global operators, may also affect the ability of users to download apps or access specified content on mobile devices.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Additionally, there is no guarantee that popular mobile devices will continue to support our platform or that mobile device users will use our platform rather than competing products. In order to deliver a high-quality mobile user experience, it is important that our platform is designed effectively and works well with a range of mobile technologies, systems, networks and standards that we do not control. We may not be successful in developing relationships with key participants in the mobile industry or in developing features that operate effectively with these technologies, systems, networks or standards. In the event that it is more difficult for our users to access and use our platform on their mobile devices or users find our mobile offering does not effectively meet their needs, our competitors develop products and services that are perceived to operate more effectively on mobile devices or our users choose not to access or use our platform on their mobile devices or use mobile products that do not offer access to our platform, our user growth and user engagement could be adversely impacted.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have a limited operating history under our current platform and pricing model, which makes it difficult to evaluate our business and prospects and increases the risks associated with your investment, and any future changes to our pricing model could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currently primarily derive our revenue from transaction fees and service fees. If we are unable to maintain a large community of users or we are unable to respond successfully to technological or industry developments, or if for any other reason the perceived value of our platform to freelancers or buyers is adversely affected, we may be forced to lower our take rate. Our take rate may also fluctuate from period to period.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recent years, we implemented a change to our pricing model, including our take rate. As a result, we have only limited experience with our current pricing model, which makes it difficult to evaluate our business and future prospects and to plan for and model future growth. Our historical revenue growth should not be considered indicative of our future performance. We have encountered, and will continue to encounter, risks and difficulties frequently experienced by growing companies in rapidly changing industries, including difficulties in our ability to achieve market acceptance of our platform and attract and retain users, as well as increasing competition and increasing expenses as we continue to grow our business. As a result, we may from time to time decide to make further changes to our pricing model due to a variety of factors, including changes in the market for our platform and competitors introducing new products and services. We may not be successful in addressing these and other challenges we may face in the future and changes to our pricing model may, among other things, result in user dissatisfaction and could lead to a loss of users on our platform.</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15</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Errors, defects or disruptions in our platform could diminish our brand, subject us to liability, and materially and adversely affect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Any errors, defects, or disruptions in our platform, or other performance problems with our platform could harm our brand and may damage the businesses of our users. Our online systems, including our website and mobile apps, could contain undetected errors, or “bugs,” that could adversely affect their performance. Additionally, we regularly update and enhance our website, platform and our other online systems and introduce new versions of our software products and apps. These updates may contain undetected errors when first introduced or released, which may cause disruptions in our services and may, as a result, cause us to lose market share, and our brand,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platform contains open source software components, and failure to comply with the terms of the underlying licenses could restrict our ability to market or operate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use open source software in connection with our technology and services. Some open source software licenses require those who distribute open source software as part of their software to publicly disclose all or part of the source code (including proprietary code) to such software and/or make available any derivative works of the open source code on unfavorable terms or at no cost. The use of such open source code may ultimately require us to replace certain code used on our platform or discontinue certain aspects of our platform.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pay substantial damages, publicly release the affected portions of our source code, be limited in or cease using the implicated software unless and until we can re-engineer such software to avoid infringement or change the use of, or remove, the implicated open source software.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addition to risks related to license requirements, use of certain open source software can lead to greater risks than use of third-party commercial software, as the original developers of open source code generally do not provide warranties (with respect to, for example, non-infringement or functionality) or indemnities or other contractual protections.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 could be difficult to eliminate or manage.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We expect to continue to expand our international operations, which may include opening offices in new jurisdictions and providing our platform in additional languages. Any new markets or countries into which we attempt to advertise our platform may not be receptive. For example, we may not be able to expand further in some markets if we are not able to satisfy certain government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5" w:name="ze5c73bef42e442a689a90f6aa34b5229"/>
      <w:bookmarkStart w:id="96" w:name="ze5c73bef42e442a689a90f6aa34b5229"/>
      <w:bookmarkEnd w:id="9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recruiting and retaining talented and capable employees and contractors outside of Israel and the United States, and maintaining our company culture across all of our offices;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7" w:name="zbccd815c3eb14afeb886411fb5efe1d6"/>
      <w:bookmarkStart w:id="98" w:name="zbccd815c3eb14afeb886411fb5efe1d6"/>
      <w:bookmarkEnd w:id="98"/>
    </w:p>
    <w:tbl>
      <w:tblPr>
        <w:tblW w:w="9453" w:type="dxa"/>
        <w:jc w:val="left"/>
        <w:tblInd w:w="0" w:type="dxa"/>
        <w:tblLayout w:type="fixed"/>
        <w:tblCellMar>
          <w:top w:w="0" w:type="dxa"/>
          <w:left w:w="0" w:type="dxa"/>
          <w:bottom w:w="0" w:type="dxa"/>
          <w:right w:w="0" w:type="dxa"/>
        </w:tblCellMar>
      </w:tblPr>
      <w:tblGrid>
        <w:gridCol w:w="38"/>
        <w:gridCol w:w="110"/>
        <w:gridCol w:w="9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0"/>
              <w:jc w:val="left"/>
              <w:rPr/>
            </w:pPr>
            <w:r>
              <w:rPr/>
              <w:t>recruiting and retaining contractors in Ukraine, which is currently affected by the war with Russia;</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9" w:name="z610999b830d04dc7a0cfae9a876fda2c"/>
      <w:bookmarkStart w:id="100" w:name="z610999b830d04dc7a0cfae9a876fda2c"/>
      <w:bookmarkEnd w:id="10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1" w:name="zb7645d4f30a5415cab5fc3f06ce9845d"/>
      <w:bookmarkStart w:id="102" w:name="zb7645d4f30a5415cab5fc3f06ce9845d"/>
      <w:bookmarkEnd w:id="10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3" w:name="zf8d93d40d93547c7a0cc59d2448fb8c6"/>
      <w:bookmarkStart w:id="104" w:name="zf8d93d40d93547c7a0cc59d2448fb8c6"/>
      <w:bookmarkEnd w:id="10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operating in jurisdictions that do not protect intellectual property rights to the same extent as does the United States;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5" w:name="z8005d8d009b44971b088c33528842a28"/>
      <w:bookmarkStart w:id="106" w:name="z8005d8d009b44971b088c33528842a28"/>
      <w:bookmarkEnd w:id="10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compliance by us and our business partners with anti-corruption laws, import and export control laws, tariffs, trade barriers, economic sanctions and other regulatory limitations on our ability to provide our platform in certain international markets;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7" w:name="z91085e6ba89045f1881b374ae7f3f979"/>
      <w:bookmarkStart w:id="108" w:name="z91085e6ba89045f1881b374ae7f3f979"/>
      <w:bookmarkEnd w:id="108"/>
    </w:p>
    <w:tbl>
      <w:tblPr>
        <w:tblW w:w="3348" w:type="dxa"/>
        <w:jc w:val="left"/>
        <w:tblInd w:w="0" w:type="dxa"/>
        <w:tblLayout w:type="fixed"/>
        <w:tblCellMar>
          <w:top w:w="0" w:type="dxa"/>
          <w:left w:w="0" w:type="dxa"/>
          <w:bottom w:w="0" w:type="dxa"/>
          <w:right w:w="0" w:type="dxa"/>
        </w:tblCellMar>
      </w:tblPr>
      <w:tblGrid>
        <w:gridCol w:w="38"/>
        <w:gridCol w:w="110"/>
        <w:gridCol w:w="3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0"/>
              <w:jc w:val="left"/>
              <w:rPr/>
            </w:pPr>
            <w:r>
              <w:rPr/>
              <w:t>political and economic instability;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9" w:name="zfd264b6c7ae643628b4bc786543c5fcb"/>
      <w:bookmarkStart w:id="110" w:name="zfd264b6c7ae643628b4bc786543c5fcb"/>
      <w:bookmarkEnd w:id="110"/>
    </w:p>
    <w:tbl>
      <w:tblPr>
        <w:tblW w:w="3918" w:type="dxa"/>
        <w:jc w:val="left"/>
        <w:tblInd w:w="0" w:type="dxa"/>
        <w:tblLayout w:type="fixed"/>
        <w:tblCellMar>
          <w:top w:w="0" w:type="dxa"/>
          <w:left w:w="0" w:type="dxa"/>
          <w:bottom w:w="0" w:type="dxa"/>
          <w:right w:w="0" w:type="dxa"/>
        </w:tblCellMar>
      </w:tblPr>
      <w:tblGrid>
        <w:gridCol w:w="38"/>
        <w:gridCol w:w="110"/>
        <w:gridCol w:w="3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left"/>
              <w:rPr/>
            </w:pPr>
            <w:r>
              <w:rPr/>
              <w:t>fluctuations in currency exchange rates;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1" w:name="z882a2cf66eaa4859bce2b7e9015de711"/>
      <w:bookmarkStart w:id="112" w:name="z882a2cf66eaa4859bce2b7e9015de711"/>
      <w:bookmarkEnd w:id="11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double taxation of our international earnings and potentially adverse tax consequences due to changes in the income and other tax laws of Israel, the United States or the international jurisdictions in which we operate;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3" w:name="zafa26c615c7f45f4b6f9ec9550e03e14"/>
      <w:bookmarkStart w:id="114" w:name="zafa26c615c7f45f4b6f9ec9550e03e14"/>
      <w:bookmarkEnd w:id="11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higher costs of doing business internationally, including increased accounting, travel, infrastructure and legal compliance costs.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Compliance with laws and regulations applicable to our global operations could substantially increase our cost of doing business in international jurisdictions. We may be unable to keep current with changes in laws and regulations as they change. Although we are in the process of implementing policies and procedures designed to support compliance with these laws and regulations, there can be no assurance that we will always be in compliance or that all of our employees, contractors, partners and agents will comply at all times. Any violations could result in enforcement actions, fines, civil and criminal penalties, damages, injunctions, or reputational harm. If we are unable to comply with these laws and regulations or manage the complexity of our global operations successfully, our business, results of operations and financial condition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If we are unable to maintain and expand our scale of operations and generate a sufficient amount of revenue to offset the associated fixed and variable costs, our results of operations may be materially and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Online businesses like ours tend to involve certain fixed costs, and our ability to achieve desired operating margins depends largely on our success in maintaining a scale of operations and generating a sufficient amount of revenue to offset these fixed costs and other variable costs. Our fixed costs typically include compensation of employees, data storage and related expenses and office rental expenses. Our variable costs typically include sales and marketing expenses and payment processing fees. As we have established the technology and network infrastructure to support our platform, the incremental cost associated with sellers adding new Gigs is relatively insignificant. However, if we are unable to maintain economies of scale our operating margin may decrease and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operating results may fluctuate from quarter to quarter, which makes our future results difficult to predict.</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5" w:name="za059487d6f46417c8dae6e9e5273795d"/>
      <w:bookmarkStart w:id="116" w:name="za059487d6f46417c8dae6e9e5273795d"/>
      <w:bookmarkEnd w:id="116"/>
    </w:p>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0"/>
              <w:jc w:val="left"/>
              <w:rPr/>
            </w:pPr>
            <w:r>
              <w:rPr/>
              <w:t>our ability to maintain and grow our community of users;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7" w:name="ze64e1b228604479989f2fd6526880aa7"/>
      <w:bookmarkStart w:id="118" w:name="ze64e1b228604479989f2fd6526880aa7"/>
      <w:bookmarkEnd w:id="118"/>
    </w:p>
    <w:tbl>
      <w:tblPr>
        <w:tblW w:w="9033" w:type="dxa"/>
        <w:jc w:val="left"/>
        <w:tblInd w:w="0" w:type="dxa"/>
        <w:tblLayout w:type="fixed"/>
        <w:tblCellMar>
          <w:top w:w="0" w:type="dxa"/>
          <w:left w:w="0" w:type="dxa"/>
          <w:bottom w:w="0" w:type="dxa"/>
          <w:right w:w="0" w:type="dxa"/>
        </w:tblCellMar>
      </w:tblPr>
      <w:tblGrid>
        <w:gridCol w:w="38"/>
        <w:gridCol w:w="110"/>
        <w:gridCol w:w="8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0"/>
              <w:jc w:val="left"/>
              <w:rPr/>
            </w:pPr>
            <w:r>
              <w:rPr/>
              <w:t>the demand for and types of skills and services that are offered on our platform by freelancers;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9" w:name="z456904cf2c054e9bbc6f139e44a42f74"/>
      <w:bookmarkStart w:id="120" w:name="z456904cf2c054e9bbc6f139e44a42f74"/>
      <w:bookmarkEnd w:id="12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spending patterns of buyers, including whether those buyers who use our platform frequently, or for larger services, reduce their spend or stop using our platform;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1" w:name="ze02610344cd34dda9180c06b3298fcdc"/>
      <w:bookmarkStart w:id="122" w:name="ze02610344cd34dda9180c06b3298fcdc"/>
      <w:bookmarkEnd w:id="122"/>
    </w:p>
    <w:tbl>
      <w:tblPr>
        <w:tblW w:w="10053" w:type="dxa"/>
        <w:jc w:val="left"/>
        <w:tblInd w:w="0" w:type="dxa"/>
        <w:tblLayout w:type="fixed"/>
        <w:tblCellMar>
          <w:top w:w="0" w:type="dxa"/>
          <w:left w:w="0" w:type="dxa"/>
          <w:bottom w:w="0" w:type="dxa"/>
          <w:right w:w="0" w:type="dxa"/>
        </w:tblCellMar>
      </w:tblPr>
      <w:tblGrid>
        <w:gridCol w:w="38"/>
        <w:gridCol w:w="110"/>
        <w:gridCol w:w="9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0"/>
              <w:jc w:val="left"/>
              <w:rPr/>
            </w:pPr>
            <w:r>
              <w:rPr/>
              <w:t>seasonal spending patterns by buyers or work patterns by freelancers and seasonality in the labor market;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3" w:name="zb4f12608696148e993e3731e25887c3b"/>
      <w:bookmarkStart w:id="124" w:name="zb4f12608696148e993e3731e25887c3b"/>
      <w:bookmarkEnd w:id="124"/>
    </w:p>
    <w:tbl>
      <w:tblPr>
        <w:tblW w:w="6933" w:type="dxa"/>
        <w:jc w:val="left"/>
        <w:tblInd w:w="0" w:type="dxa"/>
        <w:tblLayout w:type="fixed"/>
        <w:tblCellMar>
          <w:top w:w="0" w:type="dxa"/>
          <w:left w:w="0" w:type="dxa"/>
          <w:bottom w:w="0" w:type="dxa"/>
          <w:right w:w="0" w:type="dxa"/>
        </w:tblCellMar>
      </w:tblPr>
      <w:tblGrid>
        <w:gridCol w:w="38"/>
        <w:gridCol w:w="110"/>
        <w:gridCol w:w="6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0"/>
              <w:jc w:val="left"/>
              <w:rPr/>
            </w:pPr>
            <w:r>
              <w:rPr/>
              <w:t>fluctuations in the prices that freelancers charge buyers on our platform;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5" w:name="ze6eeec613802400dbd362648a942c1ab"/>
      <w:bookmarkStart w:id="126" w:name="ze6eeec613802400dbd362648a942c1ab"/>
      <w:bookmarkEnd w:id="126"/>
    </w:p>
    <w:tbl>
      <w:tblPr>
        <w:tblW w:w="2988" w:type="dxa"/>
        <w:jc w:val="left"/>
        <w:tblInd w:w="0" w:type="dxa"/>
        <w:tblLayout w:type="fixed"/>
        <w:tblCellMar>
          <w:top w:w="0" w:type="dxa"/>
          <w:left w:w="0" w:type="dxa"/>
          <w:bottom w:w="0" w:type="dxa"/>
          <w:right w:w="0" w:type="dxa"/>
        </w:tblCellMar>
      </w:tblPr>
      <w:tblGrid>
        <w:gridCol w:w="38"/>
        <w:gridCol w:w="110"/>
        <w:gridCol w:w="2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0"/>
              <w:jc w:val="left"/>
              <w:rPr/>
            </w:pPr>
            <w:r>
              <w:rPr/>
              <w:t>changes to our pricing model;</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7" w:name="z5e1d6fe52c254e7eb9b6f12c88b5491b"/>
      <w:bookmarkStart w:id="128" w:name="z5e1d6fe52c254e7eb9b6f12c88b5491b"/>
      <w:bookmarkEnd w:id="1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introduce new features and services and enhance our existing platform and our ability to generate significant revenue from new features and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9" w:name="zb6c22e9d5db34d30ad05e11edeb2e650"/>
      <w:bookmarkStart w:id="130" w:name="zb6c22e9d5db34d30ad05e11edeb2e650"/>
      <w:bookmarkEnd w:id="13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respond to competitive developments, including pricing changes and the introduction of new products and services by our competitors;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1" w:name="z3930f16d50b849e48a8b3e8d820c7da6"/>
      <w:bookmarkStart w:id="132" w:name="z3930f16d50b849e48a8b3e8d820c7da6"/>
      <w:bookmarkEnd w:id="132"/>
    </w:p>
    <w:tbl>
      <w:tblPr>
        <w:tblW w:w="6873" w:type="dxa"/>
        <w:jc w:val="left"/>
        <w:tblInd w:w="0" w:type="dxa"/>
        <w:tblLayout w:type="fixed"/>
        <w:tblCellMar>
          <w:top w:w="0" w:type="dxa"/>
          <w:left w:w="0" w:type="dxa"/>
          <w:bottom w:w="0" w:type="dxa"/>
          <w:right w:w="0" w:type="dxa"/>
        </w:tblCellMar>
      </w:tblPr>
      <w:tblGrid>
        <w:gridCol w:w="38"/>
        <w:gridCol w:w="110"/>
        <w:gridCol w:w="67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0"/>
              <w:jc w:val="left"/>
              <w:rPr/>
            </w:pPr>
            <w:r>
              <w:rPr/>
              <w:t>the impact of outages of our platform and associated reputational harm;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3" w:name="z58883033bea44537bc07e0587a69de7e"/>
      <w:bookmarkStart w:id="134" w:name="z58883033bea44537bc07e0587a69de7e"/>
      <w:bookmarkEnd w:id="1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changes to financial accounting standards and the interpretation of those standards that may affect the way we recognize and report our financial results;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5" w:name="zea338010d73947fc9d74dc62b9c5f7ff"/>
      <w:bookmarkStart w:id="136" w:name="zea338010d73947fc9d74dc62b9c5f7ff"/>
      <w:bookmarkEnd w:id="1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increases in, and timing of, operating expenses that we may incur to grow and expand our business and to remain competitive;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7" w:name="zd05c228f9abb4e7cbcf7a3ce1840a916"/>
      <w:bookmarkStart w:id="138" w:name="zd05c228f9abb4e7cbcf7a3ce1840a916"/>
      <w:bookmarkEnd w:id="1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costs related to the acquisition of businesses, talent, technologies, or intellectual property, including potentially significant amortization costs and possible impairments;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9" w:name="z56dd595c84dc49178a87c5ea4f95464e"/>
      <w:bookmarkStart w:id="140" w:name="z56dd595c84dc49178a87c5ea4f95464e"/>
      <w:bookmarkEnd w:id="140"/>
    </w:p>
    <w:tbl>
      <w:tblPr>
        <w:tblW w:w="6453" w:type="dxa"/>
        <w:jc w:val="left"/>
        <w:tblInd w:w="0" w:type="dxa"/>
        <w:tblLayout w:type="fixed"/>
        <w:tblCellMar>
          <w:top w:w="0" w:type="dxa"/>
          <w:left w:w="0" w:type="dxa"/>
          <w:bottom w:w="0" w:type="dxa"/>
          <w:right w:w="0" w:type="dxa"/>
        </w:tblCellMar>
      </w:tblPr>
      <w:tblGrid>
        <w:gridCol w:w="38"/>
        <w:gridCol w:w="110"/>
        <w:gridCol w:w="6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left"/>
              <w:rPr/>
            </w:pPr>
            <w:r>
              <w:rPr/>
              <w:t>security or data privacy breaches and associated remediation costs;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1" w:name="zabaa91af62ea4766978a0f135d06be48"/>
      <w:bookmarkStart w:id="142" w:name="zabaa91af62ea4766978a0f135d06be48"/>
      <w:bookmarkEnd w:id="142"/>
    </w:p>
    <w:tbl>
      <w:tblPr>
        <w:tblW w:w="7068" w:type="dxa"/>
        <w:jc w:val="left"/>
        <w:tblInd w:w="0" w:type="dxa"/>
        <w:tblLayout w:type="fixed"/>
        <w:tblCellMar>
          <w:top w:w="0" w:type="dxa"/>
          <w:left w:w="0" w:type="dxa"/>
          <w:bottom w:w="0" w:type="dxa"/>
          <w:right w:w="0" w:type="dxa"/>
        </w:tblCellMar>
      </w:tblPr>
      <w:tblGrid>
        <w:gridCol w:w="38"/>
        <w:gridCol w:w="110"/>
        <w:gridCol w:w="69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0"/>
              <w:jc w:val="left"/>
              <w:rPr/>
            </w:pPr>
            <w:r>
              <w:rPr/>
              <w:t>litigation, adverse judgments, settlements, or other litigation-related costs;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3" w:name="z1452e91b5aff46ae87f9a947bb9a01a2"/>
      <w:bookmarkStart w:id="144" w:name="z1452e91b5aff46ae87f9a947bb9a01a2"/>
      <w:bookmarkEnd w:id="14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global trade, or tax requirements;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5" w:name="z64791c8b23ce466bb3b926b4e159a653"/>
      <w:bookmarkStart w:id="146" w:name="z64791c8b23ce466bb3b926b4e159a653"/>
      <w:bookmarkEnd w:id="146"/>
    </w:p>
    <w:tbl>
      <w:tblPr>
        <w:tblW w:w="6453" w:type="dxa"/>
        <w:jc w:val="left"/>
        <w:tblInd w:w="0" w:type="dxa"/>
        <w:tblLayout w:type="fixed"/>
        <w:tblCellMar>
          <w:top w:w="0" w:type="dxa"/>
          <w:left w:w="0" w:type="dxa"/>
          <w:bottom w:w="0" w:type="dxa"/>
          <w:right w:w="0" w:type="dxa"/>
        </w:tblCellMar>
      </w:tblPr>
      <w:tblGrid>
        <w:gridCol w:w="38"/>
        <w:gridCol w:w="110"/>
        <w:gridCol w:w="6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left"/>
              <w:rPr/>
            </w:pPr>
            <w:r>
              <w:rPr/>
              <w:t>fluctuations in currency exchange rates, inflation and interest rates;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7" w:name="za69e64afb8aa4ebca47a66aefd2e9612"/>
      <w:bookmarkStart w:id="148" w:name="za69e64afb8aa4ebca47a66aefd2e9612"/>
      <w:bookmarkEnd w:id="14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general economic and political conditions and government regulations in the countries where we currently have significant numbers of users, or where we currently operate or may expand in the future;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9" w:name="z833d67ab87a14126a016a488255a2371"/>
      <w:bookmarkStart w:id="150" w:name="z833d67ab87a14126a016a488255a2371"/>
      <w:bookmarkEnd w:id="15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catastrophic events in countries where we currently have significant numbers of users, or where we currently operate, which could lead to power and Internet shortages, that could prevent users from the ability to use our platform;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1" w:name="zbc3ad60105cf4219829182874d43a70e"/>
      <w:bookmarkStart w:id="152" w:name="zbc3ad60105cf4219829182874d43a70e"/>
      <w:bookmarkEnd w:id="152"/>
    </w:p>
    <w:tbl>
      <w:tblPr>
        <w:tblW w:w="9573" w:type="dxa"/>
        <w:jc w:val="left"/>
        <w:tblInd w:w="0" w:type="dxa"/>
        <w:tblLayout w:type="fixed"/>
        <w:tblCellMar>
          <w:top w:w="0" w:type="dxa"/>
          <w:left w:w="0" w:type="dxa"/>
          <w:bottom w:w="0" w:type="dxa"/>
          <w:right w:w="0" w:type="dxa"/>
        </w:tblCellMar>
      </w:tblPr>
      <w:tblGrid>
        <w:gridCol w:w="38"/>
        <w:gridCol w:w="110"/>
        <w:gridCol w:w="9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0"/>
              <w:jc w:val="left"/>
              <w:rPr/>
            </w:pPr>
            <w:r>
              <w:rPr/>
              <w:t>geopolitical risks such as the wars between Israel and Hamas and between Russia and Ukraine;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3" w:name="z4b98d3389ed84d748b12ffb0c91c88d0"/>
      <w:bookmarkStart w:id="154" w:name="z4b98d3389ed84d748b12ffb0c91c88d0"/>
      <w:bookmarkEnd w:id="154"/>
    </w:p>
    <w:tbl>
      <w:tblPr>
        <w:tblW w:w="5073" w:type="dxa"/>
        <w:jc w:val="left"/>
        <w:tblInd w:w="0" w:type="dxa"/>
        <w:tblLayout w:type="fixed"/>
        <w:tblCellMar>
          <w:top w:w="0" w:type="dxa"/>
          <w:left w:w="0" w:type="dxa"/>
          <w:bottom w:w="0" w:type="dxa"/>
          <w:right w:w="0" w:type="dxa"/>
        </w:tblCellMar>
      </w:tblPr>
      <w:tblGrid>
        <w:gridCol w:w="38"/>
        <w:gridCol w:w="110"/>
        <w:gridCol w:w="4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0"/>
              <w:jc w:val="left"/>
              <w:rPr/>
            </w:pPr>
            <w:r>
              <w:rPr/>
              <w:t>pandemics, epidemics or global health emergencies.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business is subject to a variety of laws and regulations, both in the United States and internationally, many of which are evolving.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subject to a wide variety of laws and regulations. Laws, regulations and standards governing issues such as worker classification, employment, payments, worker confidentiality obligations, intellectual property, consumer protection, ESG issues, taxation, privacy,  data security, and user safety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and regulations were adopted prior to the advent of the internet and mobile and related technologies and, as a result, do not contemplate or address the unique issues of the internet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online services marketplaces. As our platform’s geographical scope expands, regulatory agencies or courts may claim that we, or our users, are subject to additional requirements or that we are prohibited from conducting our business in or with certain jurisdictions. It is also possible that certain provisions in agreements with our service providers or between buyers and freelancers may be found to be unenforceable or not compliant with applicable law.</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18</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 xml:space="preserve">The adoption or modification of laws or regulations relating to the internet or other areas of our business could limit or otherwise adversely affect the manner in which we currently conduct our business. On November 16, 2022, the Digital Services Act, or the DSA, came into force in the European Union. The majority of the substantive provisions of the DSA have taken effect in February 17, 2024, and will govern, among other things, our potential liability for illegal services or content on our platform, obligations around traceability of business users, and require enhanced transparency measures, including in relation to any recommendation systems (including the main parameters used by such systems and any available options for recipients to modify or influence them). In particular, if we present information about services in a way that would lead an average consumer to understand the service is provided by us directly, rather than by a third-party merchant, we may be liable directly under consumer protection law. Further, the DSA contains general requirements that user interfaces may not deceive or manipulate users which are yet to be clarified further by guidance. The DSA may increase our compliance costs, require changes to our user interfaces, processes, operations, and business practices which may adversely affect our ability to attract, retain and provide our services to users, and may otherwise adversely affect our business, operations and financial condition. In particular our obligations to diligence the services offered on our platform could require significant additional resources. Failure to comply with the DSA can result in fines of up to 6% of total annual worldwide turnover and recipients of services have the right to seek compensation from providers in respect of damage or loss suffered due to infringement by the platform to comply with the DSA. Similarly, in the United Kingdom, the Online Safety Act 2023, or the OSA, establishes an extensive regulatory framework for user-to-user services and imposes obligations to protect users from illegal content which, if applicable, may increase compliance costs and may otherwise adversely affect our business, operations and financial condition. Failure to comply with the OSA can result in fines of up to 10% of total annual worldwide turnover or £18 million (whichever is greater). </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may be required to register and pay taxes based on having certain minimum contacts in such jurisdictions. We may become subject to taxation in additional jurisdictions in the future.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Any actual or perceived failure to comply with evolving regulatory frameworks around the development and use of artificial intelligence could adversely affect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leverage new technologies and platforms to improve business effectiveness, including use of artificial intelligence, or AI, technologies. The AI regulatory landscape is rapidly evolving, and we are or may become subject to numerous state, federal and foreign laws, requirements and regulations governing the use of AI. Implementation standards and enforcement practices are likely to remain uncertain for the foreseeable future, and we cannot yet determine the impact future laws, regulations, standards, or perception of their requirements may have on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the United States and internationally, AI is the subject of evolving review by various governmental and regulatory agencies, including the SEC and the FTC, and changes in laws, rules, directives and regulations governing the use of AI may adversely affect the ability of our business to use or rely on AI. For example, California and other states have implemented, or are in the process of implementing, laws, rules, and regulations that impose obligations on the use of automated decision making. Further, in October 2023, the President of the United States issued an executive order on the Safe, Secure and Trustworthy Development and Use of AI, emphasizing the need for transparency, accountability and fairness in the development and use of AI Tools.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Europe, on December 8, 2023, the European Union legislators reached a political agreement on the EU Artificial Intelligence Act, or the EU AI Act, which establishes a comprehensive, risk-based governance framework for artificial intelligence in the EU market. The EU AI Act is expected to enter into force in 2024, and the majority of the substantive requirements will apply two years later. The EU AI Act will apply to companies that develop, use and/or provide artificial intelligence in the EU and includes requirements around transparency, conformity assessments and monitoring, risk assessments, human oversight, security, accuracy, general purpose artificial intelligence and foundation models, and proposes fines for breach of up to 7% of worldwide annual turnover. In addition, on September 28, 2022, the European Commission proposed two Directives seeking to establish a harmonized civil liability regime for artificial intelligence in the EU, in order to facilitate civil claims in respect of harm caused by artificial intelligence and to include artificial intelligence-enabled products within the scope of the EU’s existing strict liability regime. Once fully applicable, the EU AI Act will have a material impact on the way artificial intelligence is regulated in the EU, and together with developing guidance and/or decisions in this area, likely to 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19</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Competition for highly skilled technical and other personnel is intense, and as a result we may fail to attract, recruit, retain and develop qualified employees, which could materially and adversely impact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compete in a market marked by rapidly changing technologies and an evolving competitive landscape. In order for us to successfully compete and grow, we must attract, recruit, retain and develop personnel with requisite qualifications to provide expertise across the entire spectrum of our intellectual capital and business needs.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principal research and development as well as significant elements of our marketing and general and administrative activities are conducted at our headquarters in Israel, where we face significant competition. We also engage a talented team in the United States and Ukraine to benefit from the significant pool of talent that is available in such markets, where we have also witnessed increased competition in those markets. Many of the companies with which we compete for qualified personnel have significant resources, and we may not succeed in recruiting additional experienced or professional personnel, retaining personnel or effectively replacing current personnel who may depart with qualified or effective successors. In addition, our employees may be increasingly targeted for recruitment by competitors and other companies in the technology industry, which may make it more difficult for us to retain employees and may increase retention costs. Training of new employees with no prior relevant experience could be time-consuming and require a significant amount of resources.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addition, as a result of the intense competition for qualified human resources, the high-tech market has also experienced and may continue to experience significant wage inflation. Accordingly, our efforts to attract, retain and develop personnel may also result in significant additional expenses, which could adversely affect our profitability. Furthermore, in making employment decisions, particularly in the high-technology industry, job candidates often consider the value of the equity they are to receive in connection with their employment. Employees may be more likely to leave us if the shares they own or the shares underlying their equity incentive awards have significantly decreased in value.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Moreover, we believe our success has depended, and our future success depends, on the efforts of our senior management, including Micha Kaufman, our Co-Founder and Chief Executive Officer. There can be no assurance that the services of any of these individuals will continue to be available to us in the future. We do not carry any key man life insurance policies on any of our executive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While we utilize non-competition agreements with our employees as a means of improving our employee retention, those agreements may not be effective towards that goal. These agreements prohibit our employees, if they cease working for us, from competing directly with us or working for our competitors for a limited period. We may be unable to enforce these agreements under Israeli law, and it may be difficult for us to restrict our competitors from benefiting from the expertise our former employees developed while working for us.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light of the foregoing, there can be no assurance that qualified employees will remain in our employ or that we will be able to attract and retain qualified personnel in the future. Failure to retain or attract qualified personnel could have a material adverse effect on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If we fail to protect our intellectual property rights,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rely on a combination of confidentiality clauses, contractual commitments, trade secret protection, copyrights, trademarks and other legal rights to protect our intellectual property and know-how. To date, we have not sought patent protection for our platform or any portion of it. Third parties may obtain, copy, reverse engineer or use without our authorization our intellectual property, which includes trademarks related to our brand, platform, registered domain names, trade secrets and other intellectual property rights and licenses. If we cannot adequately protect and defend our intellectual property, we may not remain competitive, and our business, operating results and financial condition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enter into confidentiality and proprietary rights agreements with our employees, consultants and business partners, and we control access to and distribution of our proprietary information. No assurance can be given that these agreements will be effective in controlling access to our proprietary information or in effectively securing ownership of intellectual property developed by our current or former employees and contractors. Further, our competitors could also independently develop technologies like ours, and our intellectual property rights may not be broad enough for us to prevent competitors from selling products and services incorporating those technologies.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20</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In order to protect our brand, we register and defend our trademarks and expend resources to prevent others from using the same or substantially similar marks. Despite these efforts, we may not always be successful in registering and preventing misappropriation of our own marks or preventing registration of confusingly similar marks, and we may suffer dilution of or other harm to our brand.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From time to time, we may discover that third parties are infringing, misappropriating or otherwise violating our intellectual property rights. However, policing unauthorized use of our intellectual property and misappropriation of our technology is difficult, and we may therefore not always be aware of such unauthorized use or misappropriation. Despite our efforts to protect our intellectual property rights, unauthorized third parties may attempt to use, copy or otherwise obtain and market or distribute our intellectual property rights or technology or otherwise develop solutions with the same or similar functionality as our platform. If competitors infringe, misappropriate or otherwise misuse our intellectual property rights and we are not adequately protected, or if such competitors are able to develop solutions with the same or similar functionality as our platform without infringing our intellectual property, our competitive position could be harmed and our legal costs could increase, and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not be able to successfully halt the operations of copycat websites or misappropriation of our data.</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From time to time, third parties may misappropriate our data, through website scraping, robots, web crawlers or other tools or means and aggregate this data on their websites with data from other companies. In addition, “copycat” websites may attempt to imitate the functionality of our website.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we become aware of such activities, we would employ technological and/or legal measures, including initiating lawsuits, in an attempt to halt their operations. However, we may not be able to detect all such activities in a timely manner and, even if we could, technological and legal measures may be insufficient. Regardless of whether we can successfully enforce our rights against these websites or third parties, any measures that we may take could require us to expend significant financial or other resources.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become subject to claims for remuneration or royalties for assigned service invention rights by our employees, which could result in litigation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or her inventions. Case law clarifies that the right to receive consideration for “service inventions” can be waived by the employee and that in certain circumstances,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assign to us all rights to any inventions created in the scope of their employment or engagement with us,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be vulnerable to intellectual property infringement claims brought against us by others.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rely to some extent on third-party intellectual property, such as licenses to use software to operate our business and certain other copyrighted works. A successful infringement claim against us could result in monetary liability or a material disruption in our business. Although we require our employees not to infringe others’ intellectual property, we cannot be certain that our platform and brand names do not or will not infringe on valid patents, trademarks, copyrights or other intellectual property rights held by third parties. We may be subject to legal proceedings and claims from time to time relating to the intellectual property of others in the ordinary course of our business.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21</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We may incur substantial expenses in defending against third party infringement claims, regardless of their merit. Additionally, due to diversion of management time, expenses required to defend against any claim and the potential liability associated with any lawsuit, any significant litigation could significantly harm our business, financial condition and results of operations. If we were found to have infringed on the intellectual property rights of a third party, we could be liable to that party for license fees, royalty payments, lost profits or other damages, and the owner of the intellectual property may be able to obtain injunctive relief to prevent us from using the technology, software or brand name in the future. If the amount of these payments were significant, if we were prevented from incorporating certain technology or software into our platform or if we were prevented from using our brand names,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Buyers and freelancers may circumvent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business depends on buyers and freelancers transacting through our platform. Despite our efforts to prevent them from doing so, users may circumvent our platform and engage with or pay each other through other means to avoid the transaction fees and service fees that we charge on our platform. In addition, our efforts to reduce circumvention by buyers and freelancers may be costly or disruptive to implement and may fail to have the intended effect or have an adverse effect on our brand or user experience. Additionally, such efforts may reduce the attractiveness of our platform, divert the attention of management or otherwise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Additionally, freelancers, after utilizing our platform to build their reputation and brand and grow their clientele base, could choose to market their services and skills and transact with buyers outside of our platform.</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rely on Amazon Web Services to operate our platform, and any disruption of service from Amazon Web Services or material change to our arrangement with Amazon Web Services could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 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the use of our platform. We may not carry sufficient business interruption insurance to compensate us for losses that may occur as a result of any events that cause interruptions in our service.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AWS does not have an obligation to renew its agreements with us on commercially reasonable terms, or at all. If we are unable to renew our agreements on commercially reasonable terms, our agreements are prematurely terminated, or we add additional infrastructure providers, we may experience costs or downtime in connection with the transfer to, or the addition of, new data center providers. If AWS or other infrastructure providers increase the cost of their services, we may have to increase the fees to use our platform, and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22</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We face payment and fraud risks that could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Requirements on our platform relating to user authentication and fraud detection are complex. If our security measures do not succeed, our business may be adversely affected. In addition, bad actors around the world use increasingly sophisticated methods to engage in illegal activities involving personal data, such as unauthorized use of another’s identity or payment information, unauthorized acquisition or use of credit or debit card details and other fraudulent use of another’s identity or information. This could result in any of the following, each of which could adversely affect our business: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5" w:name="zf41f95862d57462cb345fa3242bfb8d2"/>
      <w:bookmarkStart w:id="156" w:name="zf41f95862d57462cb345fa3242bfb8d2"/>
      <w:bookmarkEnd w:id="15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held liable for the unauthorized use of an account holder’s credit card or bank account number and required by card issuers or banks to pay a chargeback or return fee, and if our chargeback or return rate becomes excessive, credit card networks may also require us to pay fines or other fees;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7" w:name="zc26d9e16a7d84b698f3240abff39e86f"/>
      <w:bookmarkStart w:id="158" w:name="zc26d9e16a7d84b698f3240abff39e86f"/>
      <w:bookmarkEnd w:id="15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subject to additional risk and liability exposure, including negligence, fraud or other claims, if employees or third-party service providers misappropriate user information for their own gain or facilitate the fraudulent use of such information;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9" w:name="zdcf14328528f449b84db9d146c34df8b"/>
      <w:bookmarkStart w:id="160" w:name="zdcf14328528f449b84db9d146c34df8b"/>
      <w:bookmarkEnd w:id="16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bad actors may use our platform, including our payment processing and disbursement methods, to engage in unlawful or fraudulent conduct, such as money laundering, terrorist financing, fraudulent sale of services, breaches of security, leakage of data, piracy or misuse of software and other copyrighted or trademarked content, and other misconduct;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1" w:name="z4ec227509a6144b6b3a602d45eef783c"/>
      <w:bookmarkStart w:id="162" w:name="z4ec227509a6144b6b3a602d45eef783c"/>
      <w:bookmarkEnd w:id="16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users of our platform who are subjected or exposed to the unlawful or improper conduct of other users or other third parties, including law enforcement, may seek to hold us responsible for the conduct of other users and may lose confidence in our platform, decrease or cease to use our platform, seek to obtain damages and costs, or impose fines and penalties;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3" w:name="zd261ba624d0e4388b768d150c96f5942"/>
      <w:bookmarkStart w:id="164" w:name="zd261ba624d0e4388b768d150c96f5942"/>
      <w:bookmarkEnd w:id="16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for example, freelancers misstate their qualifications or location, provide misinformation, perform services they are not qualified or authorized to provide, or produce insufficient or defective work product or work product with a viral or other harmful effect, users or other third parties may seek to hold us responsible for the freelancers’ acts or omissions and may lose confidence in our platform, decrease or cease use of our platform, or seek to obtain damages and costs;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5" w:name="zcc6d9489b01d462a942ed9ccd2c3bbe9"/>
      <w:bookmarkStart w:id="166" w:name="zcc6d9489b01d462a942ed9ccd2c3bbe9"/>
      <w:bookmarkEnd w:id="166"/>
    </w:p>
    <w:tbl>
      <w:tblPr>
        <w:tblW w:w="8133" w:type="dxa"/>
        <w:jc w:val="left"/>
        <w:tblInd w:w="0" w:type="dxa"/>
        <w:tblLayout w:type="fixed"/>
        <w:tblCellMar>
          <w:top w:w="0" w:type="dxa"/>
          <w:left w:w="0" w:type="dxa"/>
          <w:bottom w:w="0" w:type="dxa"/>
          <w:right w:w="0" w:type="dxa"/>
        </w:tblCellMar>
      </w:tblPr>
      <w:tblGrid>
        <w:gridCol w:w="38"/>
        <w:gridCol w:w="110"/>
        <w:gridCol w:w="7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jc w:val="left"/>
              <w:rPr/>
            </w:pPr>
            <w:r>
              <w:rPr/>
              <w:t>we may suffer reputational damage as a result of the occurrence of any of the above.</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Despite measures we have taken to detect and reduce the risk of this kind of conduct, we do not have control over users of our platform and cannot ensure that any of our measures will stop illegal or improper uses of our platform. We have received in the past, and may receive in the future, complaints from users and other third parties concerning misuse of our platform. We also may be required to bring claims against users and other third parties for their misuse of our platform. Even if these claims do not result in litigation or are resolved in our favor, these claims, and the time and resources necessary to resolve them, could divert the resources of our management and materially and adversely affect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be subject to escrow, payment services and money transmitter regulations that may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rely on third parties to collect funds from buyers, remit payments to sellers and hold funds in connection with user balances. Although we believe that by working with a third party, our operations comply with existing U.S. federal and state and applicable international laws and regulatory requirements related to escrow, money transmission and the handling or moving of money, existing laws or regulations may change, and interpretations of existing laws and regulations may also change.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a result, we could be required to be licensed as an escrow agent or a money transmitter (or other similar licensee) in certain states in the U.S. or other jurisdictions or may choose to obtain such a license even if not required. Such a decision could also require us to register as a money services business under applicable laws and regulations. It is also possible that we could become subject to regulatory enforcement or other proceedings in those states or other jurisdictions with escrow, money transmission or other similar statutes or regulatory requirements related to the handling or moving of money, which could in turn have a significant impact on our business, even if we were to ultimately prevail in such proceedings. We may also be required to become licensed as a payment institution (or other similar license) under the European Payment Services Directive or other international laws and regulations. Any developments in the laws or regulations related to escrow, money transmission or the handling or moving of money or increased scrutiny of our business may lead to additional compliance costs and administrative overhead.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application of laws and regulations related to escrow, money transmission and the handling or moving of money is complex and uncertain, particularly as they relate to new and evolving business models. If we are or have at any point in time been in violation of one or more escrow or money transmitter or other similar statutes or regulatory requirements related to the handling or moving of money in any jurisdiction, we may be subject to the imposition of fines, users in the relevant jurisdiction may be unable to use our platform, we may be subject to civil liability or criminal liability and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23</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If we are unable to maintain our payment partners and bank relationships, or if our disbursement partners encounter business difficulties, our business could be materially and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payment partners consist of payment processors and disbursement partners. We rely on banks and card processors to provide clearing, processing and settlement functions for the secure and timely funding of all transactions on our platform. We also rely on a network of disbursement partners to hold and disburse funds to users.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payment partners are critical to our business. In order to maintain these relationships, we have in the past been, and may in the future be, forced to agree to terms that are unfavorable to us. If we are unable to maintain our agreements with current payment partners on favorable terms, or we are unable to enter into new agreements with new payment partners on favorable terms, our ability to collect, hold and disburse funds and our revenue and business may be materially and adversely affected. This could occur for a number of reasons, including the following: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7" w:name="zf67d0bbf5e4f408e8ca2bd6eddd38b84"/>
      <w:bookmarkStart w:id="168" w:name="zf67d0bbf5e4f408e8ca2bd6eddd38b84"/>
      <w:bookmarkEnd w:id="16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payment partners may be unable to effectively accommodate changing service needs, such as those which could result from rapid growth or higher volume and the fact that some of our payment partners have a limited operating history;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9" w:name="z31da4f38670944ffa22ac1667aac11ab"/>
      <w:bookmarkStart w:id="170" w:name="z31da4f38670944ffa22ac1667aac11ab"/>
      <w:bookmarkEnd w:id="17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payment partners could choose to terminate or not renew their agreements with us or only be willing to renew on different or less advantageous terms; </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1" w:name="z373317cef2604bd19abed33deb72a876"/>
      <w:bookmarkStart w:id="172" w:name="z373317cef2604bd19abed33deb72a876"/>
      <w:bookmarkEnd w:id="17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payment partners could reduce the services provided to us, cease doing business with us, or cease doing business altogether;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3" w:name="zfcc981d56f7c4be09ec278ecb92e8866"/>
      <w:bookmarkStart w:id="174" w:name="zfcc981d56f7c4be09ec278ecb92e8866"/>
      <w:bookmarkEnd w:id="17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payment partners could be subject to delays, limitations or closures of their own businesses, networks or systems, causing them to be unable to process payments or disburse funds for certain periods of time;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5" w:name="zed42ae1c21b447609d582ee16252b3b7"/>
      <w:bookmarkStart w:id="176" w:name="zed42ae1c21b447609d582ee16252b3b7"/>
      <w:bookmarkEnd w:id="17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forced to cease doing business with payment processors if card association operating rules, certification requirements and laws, regulations or rules governing electronic funds transfers to which we are subject to change or are interpreted to make it difficult or impossible for us to comply.</w:t>
            </w:r>
          </w:p>
        </w:tc>
      </w:tr>
    </w:tbl>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Having an international community of users exposes us to risks that may materially and adversely affect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users have a global footprint that subjects us to the risks of being found to do business internationally. We have users located in over 160 countries, including some emerging markets where we have limited experience, where challenges can be significantly different from those we have faced in more developed markets and where business practices may create greater internal control risks. Because our platform is generally accessible by users worldwide, one or more jurisdictions may claim that we or our users are required to comply with their laws. Laws outside of the United States and Israel regulating internet, digital services, payments, escrow, privacy and data protection, artificial intelligence, taxation, terms of service, website accessibility, consumer protection, intellectual property ownership, services intermediaries, labor and employment, worker classification, background checks and recruiting and staffing companies, among others, which could be interpreted to apply to us, are often less favorable to us than those in the United States and Israel, giving greater rights to competitors, users and other third parties.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Compliance with international laws and regulations may be more costly than expected, may require us to change our business practices or may restrict our service offerings, and the imposition of any such laws or regulations on us, our users or third parties that we or our users utilize to provide services may adversely affect our business, prospects, financial condition and results of operations. In addition, we may be subject to multiple overlapping legal or regulatory regimes that impose conflicting requirements and enhanced legal risks.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Analysis of, and compliance with, global laws and regulations may substantially increase our cost of doing business. We may be unable to keep current with changes in laws and regulations as they develop.</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Although we are in the process of implementing policies and procedures designed to analyze whether these laws apply and, if applicable, ensure compliance with these laws and regulations, there can be no assurance that we will always be in compliance or that all of our employees, contractors, partners, users and agents will comply at all times. Any violations could result in enforcement actions, fines, civil and criminal penalties, interest, costs and fees (including but not limited to legal fees), injunctions, loss of intellectual property rights or reputational harm. If we are unable to comply with these laws and regulations or manage the complexity of global operations and supporting an international user base successfully, our business, prospects, financial condition and results of operations could be materially and adversely affected.</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24</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In addition, since we operate on a global basis, political, economic and security conditions in countries in which we operate or have users may limit our ability to provide our services. Specifically, the war between Russia and Ukraine and the war between Israel and Hamas may affect our business and operations in those regions.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business model may subject us to disputes between users of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business model involves connecting buyers and freelancers that contract directly through our platform. Buyers and freelancers are free to negotiate any specific terms they choose through custom offers sent from the conversation page. It is possible that disputes may arise between buyers and freelancers with regard to the terms of their order, service standards, payment, confidentiality, work product and intellectual property ownership and infringement. If either party believes the terms of their agreement were not met, our terms of service provide a mechanism for the parties to request assistance from us in resolving the dispute through our resolution center and customer support team. Whether or not buyers and freelancers decide to seek assistance from us, if these disputes are not resolved amicably, the parties might escalate to formal proceedings, such as by filing claims with a court. Given our role in facilitating and supporting these arrangements, it is possible that claims will be brought against us directly as a result of these disputes, or that freelancers or buyers may bring us into any claims filed against each other. We include language in our terms of service disclaiming responsibility or liability for any disputes between users; however, we cannot guarantee that these terms will, in all circumstances, be effective in preventing or limiting our involvement in user disputes. Additionally, from time to time, we are the subject of user complaints filed on forums such as the Better Business Bureau. We attempt to respond to all such complaints, although their mere presence may result in damage to our reputation. Even if these claims do not result in litigation or are resolved in our favor, these claims, and the time and resources necessary to resolve them, could divert the resources of our management.</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not be able to successfully execute future acquisitions or efficiently manage any acquired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in the past acquired and may in the future acquire certain complementary businesses or technologies. For example, during 2021 we have acquired Working Not Working, Inc., CreativeLive, Inc. and Stoke Talent Ltd. The success of any acquisition will depend upon several factors, including our ability to: identify and cost-effectively acquire businesses; integrate acquired user data, operations, products and technologies into our organization effectively; retain and motivate key personnel; and effectively retain acquired users.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Any such acquisition may require a significant commitment of management time, capital investment and other resources. We may not be successful in identifying and negotiating acquisitions on terms favorable to us. Any such acquisition could involve us taking on debt or give rise to new liabilities. 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In addition, if we use our equity securities as consideration for acquisitions, we may dilute the value of the ordinary shares.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There may be adverse tax, legal and other consequences if the employment status of freelancers that use our platform is challenged.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There is often uncertainty in the application of worker classification laws and, consequently, there is risk that freelancers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and to divergent interpretations by various authorities, which can create uncertainty and unpredictability. A misclassification determination or allegation creates potential exposure with respect to users of our platform, including but not limited to: monetary exposure arising from or relating to failure to withhold and remit taxes, unpaid wages and wage and hour laws and requirements (such as those pertaining to minimum wage and overtime); liquidated damages; civil penalties and fines;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25</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The application of indirect taxes, other tax laws or regulation could adversely affect our business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application of indirect taxes, such as sales tax, use tax, value-added tax, gross receipts tax, and digital services tax, to our business is an evolving issue that requires ongoing judgment to evaluate our applicable tax obligations. As a result, amounts recorded may be subject to adjustments by the relevant tax authorities. In many cases, the ultimate tax determination is uncertain because it is not clear how new and existing statutes might apply to our business. One or more states, the U.S. federal government or other countries may seek to impose additional reporting, record-keeping or indirect tax collection obligations on businesses like ours that facilitate e-commerce. For example,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such legislation. Tax collection responsibility and the additional costs associated with indirect tax collection, remittance and audit requirements, in addition to reporting requirements, could create additional tax exposure for us and additional burdens for users on our websites and mobile platforms.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face lawsuits or incur liability as a result of content published or made available through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nature of our business exposes us to claims related to defamation, infringement, misappropriation or other violations of third-party intellectual property rights, rights of publicity and privacy and personal injury torts. The law relating to the liability of providers of online products or services for activities of their users remains somewhat unsettled, both within the United States and internationally. This risk is enhanced in certain jurisdictions outside the United States where our protection from liability for third-party actions may be unclear and where we may be less protected under local laws than we are in the United States. If a claim is brought against us due to the actions of our users, we could incur significant costs investigating and defending such claims and, if we are found liable, significant damages.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business activities subject us to litigation risk that could materially and adversely affect us by subjecting us to significant money damages and other remedies, causing unfavorable publicity or increasing our litigation expense.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from time to time, the subject of complaints or litigation, including user claims, contract claims, employee allegations of improper termination and discrimination and claims related to violations of applicable government laws regarding religious freedom, advertising and intellectual property. Any such claim could be expensive to defend and may divert time, money and other valuable resources away from our operations and management, and, thereby, hurt our business. Additionally, a substantial judgment against us could materially and adversely affect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insurance may not provide adequate levels of coverage against claims.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be materially and adversely affected by natural disasters and other catastrophic events that could disrupt our business operations and our business continuity and disaster recovery plans may not adequately protect us from a serious disaster.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significant natural disaster, such as an earthquake, blizzard, hurricane, fire or flood, the outbreak of a pandemic, such as COVID-19, or other catastrophic events, such as a power loss or telecommunications failure, could have a material adverse impact on our business, financial condition and operating results. In the event of a natural disaster or other catastrophic event,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Broadly accepted scientific projections predict that the frequency and/or intensity of certain natural disasters are likely to increase in the future due to climate change, which may increase the magnitude of this risk. In addition, natural disasters and other catastrophic events could affect the ability of sellers on our platform to perform Gigs on a timely basis. If a natural disaster or other catastrophic event occurs in a region from which we derive a significant portion of our revenue, users in that region may delay or forego the use of our platform, which may adversely impact our operating results. All of the aforementioned risks may be augmented if our or our partners’ business continuity and disaster recovery plans prove to be inadequate.</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26</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Currency exchange rate fluctuations affect our results of operations, as reported in our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report our financial results in U.S. dollars. We collect our revenue primarily in U.S. dollars. A portion of the cost of revenue, research and development, sales and marketing and general and administrative expenses of our Israeli operations are incurred in NIS. As a result, we are exposed to exchange rate risks that may materially and adversely affect our financial results. If the NIS appreciates against the U.S. dollar or if the value of the NIS declines against the U.S. dollar at a time when the rate of inflation in the cost of Israeli goods and services exceeds the rate of decline in the relative value of the NIS, then the U.S. dollar cost of our operations in Israel would increase and our results of operations could be materially and adversely affected. Although we enter into hedging transactions from time to time, our Israeli operations also could be materially and adversely affected if we are unable to effectively hedge against currency fluctuations in the future. We cannot predict any future trends in the rate of inflation in Israel or the rate of appreciation (if any) of the NIS against the U.S. dollar. The Israeli annual rate of inflation amounted to 3.0%, 5.3%, and 2.8% for the years ended December 31, 2023, 2022 and 2021, respectively. During the years ended December 31, 2023 and 2022, the NIS depreciated in relation to the U.S. dollar by 3.1% and 13.2%, respectively, while during the year ended December 31, 2021 the NIS appreciated in relation to the U.S. dollar by 3.3%.</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investment portfolio and other funds may be adversely affected by market conditions and interest rates.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maintain substantial balances of liquid investments, for purposes of financing our operations and acquisitions. Our marketable securities totalled $476.1 million as of December 31, 2023. The performance of the capital markets affects the values of funds that are held in marketable securities. These assets are subject to market fluctuations and various developments, including, without limitation, rating agency downgrades that may impair their value. We generally buy and hold our portfolio positions, while minimizing credit risk by setting limits for minimum credit rating and maximum concentration per issuer. Our investments consist primarily of government and corporate debentures, which are primarily fixed-income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Although we believe that we generally adhere to conservative investment guidelines, the continuing turmoil in the financial markets, record high inflation rates and geopolitical instability, may result in impairments of the carrying value of our investment assets. In addition, as our investment portfolio is invested primarily in fixed-income securities it is affected by changes in interest rates. Interest rates are highly sensitive to many factors, including governmental monetary policies and domestic and international economic and political conditions. Any significant decline in our financial income or the value of our investments as a result of the changes in interest rates and interest rate expectations of the financial markets, deterioration in the credit rating of the securities in which we have invested, or general market conditions, could have an adverse effect on our results of operations and financial condition. We classify our investments as available-for-sale. Changes in the fair value of investments classified as available-for-sale are not recognized as income during the period, but rather are recognized as other comprehensive income (loss), or OCI, which is a separate component of equity until realized. Realized losses in our investments portfolio may adversely affect our financial position and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addition, we regularly maintain cash, cash equivalents and bank deposits at financial institutions in the United States, Israel and other multinational institutions. Our funds at these institutions exceed insured limits and some are not insured at all. Although we spread our cash, cash equivalents and bank deposits among several financial institutions in order to reduce the risks associated with maintaining all of our balances at one financial institution, in the event of failure of any financial institution where we maintain our cash and cash equivalents or bank deposits, there can be no assurance that we would be able to access uninsured funds in such financial institution in a timely manner or at all. Any inability to access or delay in accessing these funds could adversely affect our business and financial position.</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27</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For example, there is growing pressure in many jurisdictions and from multinational organizations such as the Organization for Economic Cooperation and Development, or the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or BEPS initiative, which was endorsed by the G20 finance ministers.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(including, in certain cases, through adoption of the OECD’s “multilateral convention” (to which Israel is also a party) to effect changes to tax treaties which entered into force on July 1, 2018 and through the European Union’s “Anti Tax Avoidance” Directives), it is still difficult in some cases to assess to what extent these changes our tax liabilities in the jurisdictions in which we conduct our business or to what extent they may impact the way in which we conduct our business or our effective tax rate due to the unpredictability and interdependency of these potential changes. In January 2019 the OECD announced further work in continuation of the BEPS project, focusing on two “pillars”. On October 8, 2021, 136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Euro 20 Billion and profitability of at least 10%) that sell goods and services into countries with little or no local physical presence. We do not expect to be within the scope of the first Pillar. The second pillar, which includes two interlocking rules: (1) the Income Inclusion Rule, and (2) the Undertaxed Payment Rule, that together comprise the Global Anti-Base Erosion, or the GloBE rules, is focused on developing a global minimum tax rate of at least 15% applicable to in-scope multinational enterprises (with revenue in excess of Euro 750 million). Israel is one of the 136 jurisdictions that has agreed in principle to the adoption of the global minimum tax rate. Given these developments, it is generally expected that tax authorities in various jurisdictions in which we operate may increase their audit activity and may seek to challenge some of the tax positions we have adopted. It is difficult to assess if and to what extent such challenges, if raised, might impact our effective tax rate.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progress on BEPS 2.0 advanced from 2019 into 2020, the world has been impacted by the COVID-19 pandemic and countries have begun to seek new sources of revenue. As a result, there is a proliferation of new Digital Services Taxes, or DSTs, and similar taxes on the digital economy as the interest in these sources of revenue has overtaken progress toward development of fundamental reforms to the international tax architecture under BEPS 2.0 on a consensus basis. These new taxes include DSTs of the type originally proposed plus, in certain jurisdictions, greatly expanded DSTs that apply to virtually all digital transactions, including on multi-sided interfaces allowing users to connect. These taxes defer between jurisdictions in terms of thresholds, applicable tax rate and scope.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Further, there have been changes to tax laws in the United States (such as the United States Inflation Reduction Act of 2022, which, among other changes, introduced a 15% corporate minimum tax on certain United States corporations and a 1% excise tax on certain stock redemptions by United States corporations, which the U.S. Treasury indicated may also apply to certain stock redemptions by a foreign corporation funded by certain United States affiliates) and there are proposals in the United States to introduce further amendments to the federal tax regime applicable to corporations. Interpretations of existing legislation or the promulgation of new legislation could create the potential for added volatility in our provision for income taxes and might have an adverse impact on our future income tax provision and tax rate.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Risks related to our indebtedness and capital structure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 conditional conversion feature of our Convertible Notes, if triggered, may adversely affect our financial condition and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the event the conditional conversion feature of the 0% Convertible Senior Notes due 2025, or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ordinary shares (other than paying cash in lieu of delivering any fractional ordinary share), we would be required to settle a portion or all of our conversion obligation through the payment of cash, which could adversely affect our liquidity.</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28</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The fundamental change repurchase right of the Convertible Notes, if triggered, may adversely affect our financial condition and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Holders of the Convertible Notes have the right, subject to limited exceptions contained in the indenture governing the Convertible Notes, to require us to repurchase all or a portion of their Convertible Notes upon the occurrence of a fundamental change before the maturity date at a repurchase price equal to 100% of the principal amount of such Convertible Notes to be repurchased, plus accrued and unpaid special interest, if any, to, but excluding, the applicable fundamental change repurchase date. Such fundamental change repurchase right, if triggered, may adversely affect our financial condition and operating results.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Provisions in the indenture for the Convertible Notes may deter or prevent a business combination that may be favorable to you.</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a fundamental change occurs prior to the maturity date, holders of the Convertible Notes will have the right, at their option, to require us to repurchase all or a portion of their Convertible Notes, subject to a limited exception described in the offering memorandum for the Convertible Notes. In addition, if a make-whole fundamental change occurs prior to the maturity date, we will in some cases be required to increase the conversion rate for a holder that elects to convert its Convertible Notes in connection with such make-whole fundamental change. Furthermore, the indenture for the Convertible Notes will prohibit us from engaging in certain mergers or acquisitions unless, among other things, the surviving entity assumes our obligations under the Convertible Notes. These and other provisions in the indenture could deter or prevent a third party from acquiring us even when the acquisition may be favorable to you.</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 balance sheet classification of  Convertible Notes could adversely affect our reported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any of the conditions to the convertibility of the Convertible Notes is satisfied, then we may be required under applicable accounting standards to reclassify the liability carrying value of the Convertible Notes, as the case may be, as a current, rather than a long-term, liability. This reclassification could be required even if no noteholders convert their notes and could materially reduce our reported working capital.</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 Capped Call Transactions may affect the value of our ordinary shares, and we may be subject to counterparty risk with respect to the Capped Call Transactions.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connection with the issuance of the Convertible Notes, we entered into privately negotiated capped call transactions, or the Capped Call Transactions, with certain of the initial purchasers of the Convertible Notes or their affiliates and other financial institutions, or the option counterparties. The Capped Call Transactions cover, collectively, the number of our ordinary shares underlying the Convertible Notes, subject to anti-dilution adjustments substantially similar to those applicable to the Convertible Notes. The Capped Call Transactions are expected generally to reduce the potential dilution to the ordinary shares upon any conversion of the Convertible Notes and/or offset any cash payments we are required to make in excess of the principal amount upon conversion of the Convertible Notes, subject to a cap, under certain events.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option counterparties or their respective affiliates may modify their hedge positions by entering into or unwinding various derivatives with respect to our ordinary shares and/or purchasing or selling our ordinary shares or other securities of ours in secondary market transactions prior to the maturity of the Convertible Notes (and are likely to do so following any conversion of the Convertible Notes or repurchase of the Convertible Notes by us on any fundamental change repurchase date, any redemption date or otherwise, in each case, if we exercise the relevant election under the Capped Call Transactions). This activity could also cause or avoid an increase or a decrease in the market price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addition, we are subject to the risk that any of the counterparties to the Capped Call Transactions may default under the Capped Call Transactions. Our exposure to the credit risk of the option counterparties under the Capped Call Transactions will not be secured by any collateral. In the past, economic conditions have resulted in the actual or perceived failure or financial difficulties of a number of financial institutions, including the bankruptcy filing by Lehman Brothers Holdings Inc. and various of its affiliates. If an option counterparty becomes subject to insolvency proceedings, we will become an unsecured creditor in those proceedings with a claim equal to our exposure at that time under our transactions with them. Our exposure will depend on many factors. Generally, the increase in our exposure will be correlated to the increase in the market price and in the volatility of our ordinary shares. In addition, as a result of a default by any counterparty to the Capped Call Transactions, we may suffer more dilution than we currently anticipate with respect to our ordinary shares. We can provide no assurances as to the financial stability or viability of any counterparty under the Capped Call Transactions.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29</w:t>
      </w:r>
    </w:p>
    <w:p>
      <w:pPr>
        <w:pStyle w:val="HorizontalLine"/>
        <w:bidi w:val="0"/>
        <w:spacing w:before="200" w:after="200"/>
        <w:jc w:val="left"/>
        <w:rPr/>
      </w:pPr>
      <w:r>
        <w:rPr/>
      </w:r>
    </w:p>
    <w:p>
      <w:pPr>
        <w:pStyle w:val="TextBody"/>
        <w:bidi w:val="0"/>
        <w:spacing w:lineRule="auto" w:line="300" w:before="0" w:after="0"/>
        <w:jc w:val="left"/>
        <w:rPr>
          <w:b/>
          <w:i/>
          <w:sz w:val="20"/>
        </w:rPr>
      </w:pPr>
      <w:r>
        <w:rPr>
          <w:b/>
          <w:i/>
          <w:sz w:val="20"/>
        </w:rPr>
        <w:t>Risks relating to our ordinary shares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need to raise additional funds to finance our future capital needs, which may dilute the value of our outstanding ordinary shares or prevent us from growing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may need to raise additional funds to finance our existing and future capital needs, including developing new services and technologies, and to fund ongoing operating expenses. If we raise additional funds through the sale of equity securities, these transactions may dilute the value of our outstanding ordinary shares. We may also decide to issue securities, including protected securities, that have rights, preferences and privileges senior to our ordinary shares. Any debt financing would increase our level of indebtedness and could negatively affect our liquidity and restrict our operations. We also can provide no assurances that the funds we raise will be sufficient to finance any future capital requirements. We may be unable to raise additional funds on terms favorable to us or at all. In addition, the recent declines in the global economy, difficulties in the financial services sector and credit market, continuing geopolitical uncertainties and other macroeconomic factors all affect the spending behavior of potential investors. If financing is not available or is not available on acceptable terms, we may be unable to fund our future needs. This may prevent us from increasing our market share, capitalizing on new business opportunities or remaining competitive in our industry, which could materially and adversely affect our business, prospects,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report under the Securities Exchange Act of 1934, or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our shareholders may not have the same protections afforded to shareholders of a company that is not a foreign private issuer.</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lose our foreign private issuer status in the future, which could result in significant additional costs and expenses.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 We may lose our foreign private issuer status in the future,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the New York Stock Exchange, or the NYSE. As a U.S. listed public company that is not a foreign private issuer, we will incur significant additional legal, accounting and other expenses that we will not incur as a foreign private issuer.</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30</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As we are a “foreign private issuer” and follow certain home country corporate governance practices, our shareholders may not have the same protections afforded to shareholders of companies that are subject to all NYSE corporate governance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a foreign private issuer, we have the option to follow certain home country corporate governance practices rather than those of the NYSE, provided that we disclose the requirements we are not following and describe the home country practices we are following. We rely on this “foreign private issuer exemption” with respect to the NYSE rules for shareholder meeting quorums. We may in the future elect to follow home country practices with regard to other matters. As a result, our shareholders may not have the same protections afforded to shareholders of companies that are subject to all NYSE corporate governance requirements.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 market price of our ordinary shares has been and could in the future be negatively affected by future sales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of December 31, 2023, there were 38,653,958 ordinary shares outstanding.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Of our issued and outstanding shares, all of our ordinary shares are freely transferable, except for any shares held by our “affiliates,” as that term is defined in Rule 144 under the Securities Act of 1933, or the Securities Act.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of December 31, 2023, we had 1,737,003 shares available for future grant under our share option plans and 4,889,099 ordinary shares that were subject to share options and restricted share units that were granted by us. Of this amount, 2,324,545 options were vested and exercisable as of December 31, 2023. In addition, as of December 31, 2023, we had 1,004,211 shares available for sale under our 2020 Employee Share Purchase Plan.</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There can be no assurance that we will not be classified as a passive foreign investment company, which could result in adverse U.S. federal income tax consequences to U.S. Holders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or the income test; or (ii) 50% or more of the value of our assets (generally determined on the basis of a quarterly average) during such year is attributable to assets that produce or are held for the production of passive income, or the asset test.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In making this determination, we will be treated as owning a proportionate share of the assets and earning a proportionate share of the income of any other corporation of which we own, directly or indirectly, at least 25% (by value) of the stock. 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Internal Revenue Service, or the IRS, has not issued guidance conclusively addressing how to value a publicly-traded foreign corporation’s assets for PFIC purposes. The trading value of our ordinary shares has in the past, and is likely to continue to fluctuate. Considering the volatile market conditions, we believe it may be appropriate to employ alternative methods to determine the value of our assets other than the market capitalization method. After considering the total value of our assets determined under an alternative valuation method that takes into account, in addition to the trading value of our ordinary shares, a control premium, we believe that we were not a PFIC for the taxable year ended December 31, 2023. However, if the market capitalization method were determined to be the only appropriate method of valuing our assets, there is a significant risk that we would be treated as a PFIC for the taxable year ended December 31, 2023. There can be no certainty that the IRS will not challenge our position and determine that based on the IRS’s interpretation of the asset test, we were a PFIC for the taxable year ended December 31, 2023. In addition, PFIC status is a factual determination that must be made annually after the close of each taxable year. The trading value of our ordinary shares is likely to continue to fluctuate, which may affect the determination of whether we will be considered a PFIC. In addition, we have a substantial balance of cash and other liquid investments, which are passive assets for purposes of the PFIC determination. Whether we are treated as a PFIC in the current taxable year or in future taxable years will depend in part on how, and how quickly, we spend or otherwise utilize these passive assets. Accordingly, as our market capitalization and the composition of our income, assets, and operations are subject to change, we cannot assure you that we will not be considered a PFIC for any taxable year. In addition, it is possible that the IRS may take a contrary position with respect to our determination in any particular year. Certain adverse U.S. federal income tax consequences could apply to a U.S. Holder (as defined in Item 10.E. “</w:t>
      </w:r>
      <w:r>
        <w:rPr>
          <w:i/>
          <w:sz w:val="20"/>
        </w:rPr>
        <w:t>Taxation—Taxation and government programs—United States federal income taxation</w:t>
      </w:r>
      <w:r>
        <w:rPr>
          <w:sz w:val="20"/>
        </w:rPr>
        <w:t>”) if we are treated as a PFIC for any taxable year during which such U.S. Holder holds our ordinary shares, regardless of whether we continue to be a PFIC in subsequent taxable years. We are not providing any U.S. tax opinion to any U.S. Holder concerning our potential PFIC status, and U.S. Holders should consult their tax advisors about the potential application of the PFIC rules to their investment in our ordinary shares. For further discussion, see Item 10.E. “</w:t>
      </w:r>
      <w:r>
        <w:rPr>
          <w:i/>
          <w:sz w:val="20"/>
        </w:rPr>
        <w:t>Taxation— Taxation and government programs—United States federal income taxation—Passive Foreign Investment Company considerations.</w:t>
      </w:r>
      <w:r>
        <w:rPr>
          <w:sz w:val="20"/>
        </w:rPr>
        <w:t>”</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31</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If a United States person is treated as owning at least 10% of our ordinary shares such holder may be subject to adverse U.S. federal income tax consequences.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a United States person is treated as owning (directly, indirectly, or constructively, including through the ownership of our Convertible Notes) at least 10% of the value or voting power of our ordinary shares, such person may be treated as a “United States shareholder” with respect to each “controlled foreign corporation” in our group (if any). Because our group includes U.S. subsidiaries, certain of our non-U.S. subsidiaries will be treated as controlled foreign corporations (regardless of whether or not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unless certain elections are made on the individual’s federal tax return.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The U.S. Internal Revenue Service has provided limited guidance on situations in which investors may rely on publicly available information to comply with their reporting and tax paying obligations with respect to controlled foreign corporations. A United States investor should consult its advisors regarding the potential application of these rules to an investment in our ordinary shares.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Provisions of Israeli law and our amended and restated articles of association may delay, prevent or make undesirable an acquisition of all or a significant portion of our shares or assets.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7" w:name="z2444a26a45d44276ab715d529a345af4"/>
      <w:bookmarkStart w:id="178" w:name="z2444a26a45d44276ab715d529a345af4"/>
      <w:bookmarkEnd w:id="17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Israeli corporate law regulates mergers and requires that a tender offer be effected when more than a specified percentage of shares in a company are purchased;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9" w:name="zab6a8b437b1b48d2bb3d3b5316b4baa0"/>
      <w:bookmarkStart w:id="180" w:name="zab6a8b437b1b48d2bb3d3b5316b4baa0"/>
      <w:bookmarkEnd w:id="18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Israeli corporate law does not provide for shareholder action by written consent, thereby requiring all shareholder actions to be taken at a general meeting of shareholders;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1" w:name="z0d2978a99bcb41ac8bec4e7392806986"/>
      <w:bookmarkStart w:id="182" w:name="z0d2978a99bcb41ac8bec4e7392806986"/>
      <w:bookmarkEnd w:id="18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amended and restated articles of association divide our directors into three classes, each of which is elected once every three years;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3" w:name="z506c04f654a74d9cb208568684373d08"/>
      <w:bookmarkStart w:id="184" w:name="z506c04f654a74d9cb208568684373d08"/>
      <w:bookmarkEnd w:id="18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dividing our directors into three classes, requires a vote of the holders of at least 65% of the total voting power of our shareholders;</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5" w:name="z917d68468e594c1cba8e08db8b376297"/>
      <w:bookmarkStart w:id="186" w:name="z917d68468e594c1cba8e08db8b376297"/>
      <w:bookmarkEnd w:id="18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amended and restated articles of association do not permit a director to be removed except by a vote of the holders of at least 65% of the total voting power of our shareholders and any amendment to such provision requires the approval of at least 65% of the total voting power of our shareholders;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7" w:name="z735e33a66bfd4e76a6f204910b729a9a"/>
      <w:bookmarkStart w:id="188" w:name="z735e33a66bfd4e76a6f204910b729a9a"/>
      <w:bookmarkEnd w:id="18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amended and restated articles of association provide that director vacancies may be filled by our board of directors.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Further, Israeli tax considerations may make potential transactions undesirable to us or to some of our shareholders whose country of residence does not have a tax treaty with Israel granting tax relief to such shareholders from Israeli tax. With respect to mergers, Israeli tax law allows for tax deferral in certain circumstances but makes the deferral contingent on the fulfilment of numerous conditions, including a holding period of two years from the date of the transaction during which certain sales and dispositions of shares of the participating companies are restricted.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do not expect to pay any dividends in the foreseeable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never declared or paid any dividends on our ordinary shares. We do not anticipate paying any dividends in the foreseeable future. We currently intend to retain future earnings, if any, to finance operations and expand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Israeli Companies Law, 5759-1999, or the Companies Law, imposes restrictions on our ability to declare and pay dividends.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Payment of dividends may also be subject to Israeli withholding taxes. See Item 10.E. ”</w:t>
      </w:r>
      <w:r>
        <w:rPr>
          <w:i/>
          <w:sz w:val="20"/>
        </w:rPr>
        <w:t>Taxation—Taxation and government programs—Israeli tax considerations and government programs” </w:t>
      </w:r>
      <w:r>
        <w:rPr>
          <w:sz w:val="20"/>
        </w:rPr>
        <w:t>for more information.</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incur increased costs as a result of operating as a public company, and our management is required to devote substantial time to new compliance initiatives and corporate governance practices.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a public company we incur significant legal, accounting and other expenses that we did not incur as a private company. The Sarbanes-Oxley Act, the Dodd-Frank Wall Street Reform and Consumer Protection Act, the listing requirements of the New York Stock Exchange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 (b),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sz w:val="20"/>
        </w:rPr>
        <w:t>Irrespective of compliance with Sections 404(a) and 404(b), any failure of our internal control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33</w:t>
      </w:r>
    </w:p>
    <w:p>
      <w:pPr>
        <w:pStyle w:val="HorizontalLine"/>
        <w:bidi w:val="0"/>
        <w:spacing w:before="200" w:after="200"/>
        <w:jc w:val="left"/>
        <w:rPr/>
      </w:pPr>
      <w:r>
        <w:rPr/>
      </w:r>
    </w:p>
    <w:p>
      <w:pPr>
        <w:pStyle w:val="TextBody"/>
        <w:bidi w:val="0"/>
        <w:spacing w:lineRule="auto" w:line="300" w:before="0" w:after="0"/>
        <w:ind w:left="0" w:right="0" w:firstLine="720"/>
        <w:jc w:val="left"/>
        <w:rPr/>
      </w:pPr>
      <w:r>
        <w:rPr/>
      </w:r>
    </w:p>
    <w:p>
      <w:pPr>
        <w:pStyle w:val="TextBody"/>
        <w:bidi w:val="0"/>
        <w:spacing w:lineRule="auto" w:line="300" w:before="0" w:after="0"/>
        <w:jc w:val="left"/>
        <w:rPr>
          <w:b/>
          <w:i/>
          <w:sz w:val="20"/>
        </w:rPr>
      </w:pPr>
      <w:r>
        <w:rPr>
          <w:b/>
          <w:i/>
          <w:sz w:val="20"/>
        </w:rPr>
        <w:t>Risks relating to our incorporation and location in Israel</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Conditions in Israel, including the recent attack by Hamas from the Gaza Strip and Israel’s war against it, could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Many of our employees, including certain management members, operate from our offices that are located in Tel Aviv, Israel. In addition, our officers and most of our directors are residents of Israel. Accordingly, political, economic, and military conditions in Israel and the surrounding region may directly affect our business and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which has threatened to attack Israel, may be developing nuclear weapons and has targeted cyber attacks against Israeli entities. In October 2023, Hamas terrorists infiltrated Israel’s southern border from the Gaza Strip and conducted a series of attacks on civilian and military targets. Hamas also launched extensive rocket attacks on Israeli population within the State of Israel. These attacks resulted in extensive deaths, injuries and kidnapping of civilians and soldiers. Following the attack, Israel’s security cabinet declared war against Hamas and a military campaign against this terrorist organization commenced in parallel to its continued rocket and terror attacks. Following the attack by Hamas on Israel’s southern border, Hezbollah in Lebanon also launched missile, rocket and shooting attacks against Israeli military sites, troops and Israeli towns in northern Israel. In response to these attacks, the Israeli army has carried out a number of targeted strikes on sites belonging to Hezbollah in southern Lebanon. Furthermore, following Hamas’ attack on Israel and Israel’s security cabinet declaration of war against Hamas, the Houthi movement, which controls parts of Yemen, launched a number of attacks on marine vessels traversing the Red Sea, which marine vessels were thought to either be in route towards Israel or to be partly owned by Israeli businessmen. It is possible that other terrorist organizations, including Palestinian military organizations in the West Bank, as well as other hostile countries, such as Iran, will join the hostilities. It is currently not possible to predict the duration or severity of the ongoing conflict or its effect on our business, operations and financial conditions. The ongoing conflict is rapidly evolving and developing, and could disrupt our business and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connection with the Israeli security cabinet’s declaration of war against Hamas and possible hostilities with other organizations, several hundred thousand Israeli military reservists were drafted to perform immediate military service. Certain of our employees in Israel have been called, and additional employees may be called, for service in the current or future wars or other armed conflicts with Hamas and others, and such persons may be absent for an extended period of time. As a result, our operations may be disrupted by such absences, which disruption may materially and adversely affect our business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the event that the situation escalates into a greater regional conflict or our facilities are damaged as a result of hostile actions, or hostilities otherwise disrupt our ongoing operations, our ability to provide services could be materially and adversely affected. 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intensity and duration of Israel’s current war against Hamas is difficult to predict, as well as such war’s economic implications on Israel’s economy in general. These events may be intertwined with wider macroeconomic indications of a deterioration of Israel’s economic standing that may involve a downgrade in Israel’s credit rating by rating agencies (such as the recent downgrade by Moody’s of its credit rating of Israel from A1 to A2, as well as the downgrade of its outlook rating from “stable” to “negative”), which may have a material adverse effect on the Company and its ability to effectively conduct its operations.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34</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Further, in the past, the State of Israel and Israeli companies have been subjected to economic boycotts. Several countries still restrict business with the State of Israel and with Israeli companies and more countries may impose restrictions on doing business with Israel and Israeli companies if hostilities on Israel continue or increase. These restrictive laws and policies may have an adverse impact on our results of operations, financial condition or the expansion of our business. A campaign of boycotts, divestment, and sanctions has been undertaken against Israel, which could also adversely affect our business. Actual or perceived political instability in Israel or any negative changes in the political environment, may individually or in the aggregate adversely affect the Israeli economy and, in turn, our business, financial condition, results of operations, and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Finally, political conditions within Israel may affect our operations. Israel has held five general elections between 2019 and 2022, and prior to October 2023, the Israeli government pursued changes to Israel’s judicial system. In response to the foregoing developments, certain individuals, organizations and institutions, both within and outside of Israel, voiced concerns that such proposed changes, if adopted, may negatively impact the business environment in Israel including due to reluctance of foreign investors to invest or transact business in Israel as well as to increased currency fluctuations, downgrades in credit rating, increased interest rates, increased volatility in security markets, and other changes in macroeconomic conditions. Such proposed changes may also lead to political instability or civil unrest. To date, these initiatives have been substantially put on hold. If such changes to Israel’s judicial system are again pursued by the government and approved by the parliament, this may have an adverse effect on our business, results of operations and ability to raise additional funds, if deemed necessary by our management and board of directors.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The tax benefits that are available to us require us to continue to meet various conditions and may be terminated or reduced in the future, which could increase our costs and taxes.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eligible for certain tax exemptions provided to a “Beneficiary Enterprise” under the Israeli Law for the Encouragement of Capital Investments, 5719-1959, or the Investment Law. In order to remain eligible for the tax exemptions provided to a “Beneficiary Enterprise” we must continue to meet certain conditions stipulated in the Investment Law and its regulations, as amended. If these tax benefits are reduced, cancelled or discontinued, our Israeli taxable income from the beneficiary enterprise would be subject to regular Israeli corporate tax rates. The standard corporate tax rate for Israeli companies in 2023 was 23%. The tax exemption will be revoked if a dividend or deemed dividend is distributed, in which case a corporate tax rate of 23% will be applied. Deemed dividend can be considered as intercompany loans, investments, acquisitions or other activities as provided in section 51(b) in the Investment Law. See Item 10.E. ”</w:t>
      </w:r>
      <w:r>
        <w:rPr>
          <w:i/>
          <w:sz w:val="20"/>
        </w:rPr>
        <w:t>Taxation—Taxation and government programs—Israeli tax considerations and government programs—Law for the Encouragement of Capital Investments, 5719-1959.”</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 may be difficult to enforce a U.S. judgment against us, our officers and directors named in this Annual Report in Israel or the United States, or to assert U.S. securities laws claims in Israel or serve process on our officers and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all of our directors or officers are residents of the United States and most of their and our assets are located outside the United States. Service of process upon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obtained in the United States against us or our non-U.S. directors and executive officers, which may make it difficult to collect on judgments rendered against us or our non-U.S. officers and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35</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Your rights and responsibilities as our shareholder are governed by Israeli law, which may differ in some respects from the rights and responsibilities of shareholders of U.S. corporations.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incorporated under Israeli law. The rights and responsibilities of holders of our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 We are also subject to the U.S. Foreign Corrupt Practices Act of 1977, as amended, the U.S. domestic bribery statute contained in 18 U.S.C. § 201, the U.S. Travel Act, the USA PATRIOT Act, the United Kingdom Bribery Act 2010, the Proceeds of Crime Act 2002, Chapter 9 (sub-chapter 5) of the Israeli Penal Law, 1977, the Israeli Prohibition on Money Laundering Law—2000 and possibly other anti-bribery and anti-money laundering laws in countries outside of the United States in which we conduct our activities. Compliance with these laws has been the subject of increasing focus and activity by regulatory authorities, both in the United States and elsewhere, in recent years. Anti-corruption laws are interpreted broadly and prohibit companies and their employees and third-party intermediaries from authorizing, promising, offering, providing, soliciting or accepting, directly or indirectly, improper payments or benefits to or from any person whether in the public or private sector.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Further, we historically had some users in Cuba, North Korea and Crimea, countries that are presently the subject of comprehensive sanctions by the United States government, or Sanctioned Countries. We have taken steps to terminate existing accounts in Sanctioned Countries and have implemented various control mechanisms designed to prevent unauthorized dealings with Sanctioned Countries going forward. Although we endeavor to conduct our business in accordance with applicable laws and regulations, we cannot guarantee compliance.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Noncompliance with anti-corruption, anti-money laundering, export control,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 acquire. As a general matter, enforcement actions and sanctions could harm our business, results of operations and financial condition.</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36</w:t>
      </w:r>
    </w:p>
    <w:p>
      <w:pPr>
        <w:pStyle w:val="HorizontalLine"/>
        <w:bidi w:val="0"/>
        <w:spacing w:before="200" w:after="200"/>
        <w:jc w:val="left"/>
        <w:rPr/>
      </w:pPr>
      <w:r>
        <w:rPr/>
      </w:r>
    </w:p>
    <w:p>
      <w:pPr>
        <w:pStyle w:val="TextBody"/>
        <w:bidi w:val="0"/>
        <w:spacing w:lineRule="auto" w:line="300" w:before="0" w:after="0"/>
        <w:jc w:val="left"/>
        <w:rPr>
          <w:b/>
          <w:i/>
          <w:sz w:val="20"/>
        </w:rPr>
      </w:pPr>
      <w:r>
        <w:rPr>
          <w:b/>
          <w:i/>
          <w:sz w:val="20"/>
        </w:rPr>
        <w:t>General risk factors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share price may be volatile, and you may lose all or part of your investment.</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market price of our ordinary shares could be highly volatile and may fluctuate substantially as a result of many factors,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9" w:name="z289b9057feb04d66aabf036244206200"/>
      <w:bookmarkStart w:id="190" w:name="z289b9057feb04d66aabf036244206200"/>
      <w:bookmarkEnd w:id="190"/>
    </w:p>
    <w:tbl>
      <w:tblPr>
        <w:tblW w:w="5853" w:type="dxa"/>
        <w:jc w:val="left"/>
        <w:tblInd w:w="0" w:type="dxa"/>
        <w:tblLayout w:type="fixed"/>
        <w:tblCellMar>
          <w:top w:w="0" w:type="dxa"/>
          <w:left w:w="0" w:type="dxa"/>
          <w:bottom w:w="0" w:type="dxa"/>
          <w:right w:w="0" w:type="dxa"/>
        </w:tblCellMar>
      </w:tblPr>
      <w:tblGrid>
        <w:gridCol w:w="38"/>
        <w:gridCol w:w="110"/>
        <w:gridCol w:w="57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pPr>
            <w:r>
              <w:rPr/>
              <w:t>actual or anticipated fluctuations in our results of operations;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1" w:name="zaa6e25f70f2a4809bbbf1125a76b2b79"/>
      <w:bookmarkStart w:id="192" w:name="zaa6e25f70f2a4809bbbf1125a76b2b79"/>
      <w:bookmarkEnd w:id="192"/>
    </w:p>
    <w:tbl>
      <w:tblPr>
        <w:tblW w:w="7623" w:type="dxa"/>
        <w:jc w:val="left"/>
        <w:tblInd w:w="0" w:type="dxa"/>
        <w:tblLayout w:type="fixed"/>
        <w:tblCellMar>
          <w:top w:w="0" w:type="dxa"/>
          <w:left w:w="0" w:type="dxa"/>
          <w:bottom w:w="0" w:type="dxa"/>
          <w:right w:w="0" w:type="dxa"/>
        </w:tblCellMar>
      </w:tblPr>
      <w:tblGrid>
        <w:gridCol w:w="38"/>
        <w:gridCol w:w="110"/>
        <w:gridCol w:w="74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0"/>
              <w:jc w:val="left"/>
              <w:rPr/>
            </w:pPr>
            <w:r>
              <w:rPr/>
              <w:t>variance in our financial performance from the expectations of market analysts;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3" w:name="zb8f9dde8d7d84a8a8fd292b1a473878b"/>
      <w:bookmarkStart w:id="194" w:name="zb8f9dde8d7d84a8a8fd292b1a473878b"/>
      <w:bookmarkEnd w:id="19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announcements by us or our competitors of significant business developments, changes in service provider relationships, acquisitions or expansion plans;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5" w:name="z57fc57a0226c4d34ba6884ae75831a74"/>
      <w:bookmarkStart w:id="196" w:name="z57fc57a0226c4d34ba6884ae75831a74"/>
      <w:bookmarkEnd w:id="196"/>
    </w:p>
    <w:tbl>
      <w:tblPr>
        <w:tblW w:w="2268" w:type="dxa"/>
        <w:jc w:val="left"/>
        <w:tblInd w:w="0" w:type="dxa"/>
        <w:tblLayout w:type="fixed"/>
        <w:tblCellMar>
          <w:top w:w="0" w:type="dxa"/>
          <w:left w:w="0" w:type="dxa"/>
          <w:bottom w:w="0" w:type="dxa"/>
          <w:right w:w="0" w:type="dxa"/>
        </w:tblCellMar>
      </w:tblPr>
      <w:tblGrid>
        <w:gridCol w:w="38"/>
        <w:gridCol w:w="110"/>
        <w:gridCol w:w="2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0"/>
              <w:jc w:val="left"/>
              <w:rPr/>
            </w:pPr>
            <w:r>
              <w:rPr/>
              <w:t>short selling activities;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7" w:name="zc671951c01114128a12e562fd8257065"/>
      <w:bookmarkStart w:id="198" w:name="zc671951c01114128a12e562fd8257065"/>
      <w:bookmarkEnd w:id="198"/>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0"/>
              <w:jc w:val="left"/>
              <w:rPr/>
            </w:pPr>
            <w:r>
              <w:rPr/>
              <w:t>changes in our take rate;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9" w:name="z010eeda7999c48cda372f4ca7a8d3c0c"/>
      <w:bookmarkStart w:id="200" w:name="z010eeda7999c48cda372f4ca7a8d3c0c"/>
      <w:bookmarkEnd w:id="200"/>
    </w:p>
    <w:tbl>
      <w:tblPr>
        <w:tblW w:w="2913" w:type="dxa"/>
        <w:jc w:val="left"/>
        <w:tblInd w:w="0" w:type="dxa"/>
        <w:tblLayout w:type="fixed"/>
        <w:tblCellMar>
          <w:top w:w="0" w:type="dxa"/>
          <w:left w:w="0" w:type="dxa"/>
          <w:bottom w:w="0" w:type="dxa"/>
          <w:right w:w="0" w:type="dxa"/>
        </w:tblCellMar>
      </w:tblPr>
      <w:tblGrid>
        <w:gridCol w:w="38"/>
        <w:gridCol w:w="110"/>
        <w:gridCol w:w="2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0"/>
              <w:jc w:val="left"/>
              <w:rPr/>
            </w:pPr>
            <w:r>
              <w:rPr/>
              <w:t>our involvement in litigation;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1" w:name="z548d02d44f1547de82b702bc02eaec8f"/>
      <w:bookmarkStart w:id="202" w:name="z548d02d44f1547de82b702bc02eaec8f"/>
      <w:bookmarkEnd w:id="202"/>
    </w:p>
    <w:tbl>
      <w:tblPr>
        <w:tblW w:w="5658" w:type="dxa"/>
        <w:jc w:val="left"/>
        <w:tblInd w:w="0" w:type="dxa"/>
        <w:tblLayout w:type="fixed"/>
        <w:tblCellMar>
          <w:top w:w="0" w:type="dxa"/>
          <w:left w:w="0" w:type="dxa"/>
          <w:bottom w:w="0" w:type="dxa"/>
          <w:right w:w="0" w:type="dxa"/>
        </w:tblCellMar>
      </w:tblPr>
      <w:tblGrid>
        <w:gridCol w:w="38"/>
        <w:gridCol w:w="110"/>
        <w:gridCol w:w="5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jc w:val="left"/>
              <w:rPr/>
            </w:pPr>
            <w:r>
              <w:rPr/>
              <w:t>our sale of ordinary shares or other securities in the future;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3" w:name="z030276d6d05140fe9f170da36b85ba57"/>
      <w:bookmarkStart w:id="204" w:name="z030276d6d05140fe9f170da36b85ba57"/>
      <w:bookmarkEnd w:id="204"/>
    </w:p>
    <w:tbl>
      <w:tblPr>
        <w:tblW w:w="3363" w:type="dxa"/>
        <w:jc w:val="left"/>
        <w:tblInd w:w="0" w:type="dxa"/>
        <w:tblLayout w:type="fixed"/>
        <w:tblCellMar>
          <w:top w:w="0" w:type="dxa"/>
          <w:left w:w="0" w:type="dxa"/>
          <w:bottom w:w="0" w:type="dxa"/>
          <w:right w:w="0" w:type="dxa"/>
        </w:tblCellMar>
      </w:tblPr>
      <w:tblGrid>
        <w:gridCol w:w="38"/>
        <w:gridCol w:w="110"/>
        <w:gridCol w:w="3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0"/>
              <w:jc w:val="left"/>
              <w:rPr/>
            </w:pPr>
            <w:r>
              <w:rPr/>
              <w:t>market conditions in our industry;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5" w:name="zcbc1aa269d9948979915818589a5a0ac"/>
      <w:bookmarkStart w:id="206" w:name="zcbc1aa269d9948979915818589a5a0ac"/>
      <w:bookmarkEnd w:id="206"/>
    </w:p>
    <w:tbl>
      <w:tblPr>
        <w:tblW w:w="2628" w:type="dxa"/>
        <w:jc w:val="left"/>
        <w:tblInd w:w="0" w:type="dxa"/>
        <w:tblLayout w:type="fixed"/>
        <w:tblCellMar>
          <w:top w:w="0" w:type="dxa"/>
          <w:left w:w="0" w:type="dxa"/>
          <w:bottom w:w="0" w:type="dxa"/>
          <w:right w:w="0" w:type="dxa"/>
        </w:tblCellMar>
      </w:tblPr>
      <w:tblGrid>
        <w:gridCol w:w="38"/>
        <w:gridCol w:w="110"/>
        <w:gridCol w:w="2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0"/>
              <w:jc w:val="left"/>
              <w:rPr/>
            </w:pPr>
            <w:r>
              <w:rPr/>
              <w:t>changes in key personnel;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7" w:name="z12ec7430ef764d858963618a2aa15781"/>
      <w:bookmarkStart w:id="208" w:name="z12ec7430ef764d858963618a2aa15781"/>
      <w:bookmarkEnd w:id="208"/>
    </w:p>
    <w:tbl>
      <w:tblPr>
        <w:tblW w:w="4143" w:type="dxa"/>
        <w:jc w:val="left"/>
        <w:tblInd w:w="0" w:type="dxa"/>
        <w:tblLayout w:type="fixed"/>
        <w:tblCellMar>
          <w:top w:w="0" w:type="dxa"/>
          <w:left w:w="0" w:type="dxa"/>
          <w:bottom w:w="0" w:type="dxa"/>
          <w:right w:w="0" w:type="dxa"/>
        </w:tblCellMar>
      </w:tblPr>
      <w:tblGrid>
        <w:gridCol w:w="38"/>
        <w:gridCol w:w="110"/>
        <w:gridCol w:w="39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0"/>
              <w:jc w:val="left"/>
              <w:rPr/>
            </w:pPr>
            <w:r>
              <w:rPr/>
              <w:t>the trading volume of our ordinary shares;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9" w:name="z76527562af8e4e158b9ffa6e00246648"/>
      <w:bookmarkStart w:id="210" w:name="z76527562af8e4e158b9ffa6e00246648"/>
      <w:bookmarkEnd w:id="210"/>
    </w:p>
    <w:tbl>
      <w:tblPr>
        <w:tblW w:w="7623" w:type="dxa"/>
        <w:jc w:val="left"/>
        <w:tblInd w:w="0" w:type="dxa"/>
        <w:tblLayout w:type="fixed"/>
        <w:tblCellMar>
          <w:top w:w="0" w:type="dxa"/>
          <w:left w:w="0" w:type="dxa"/>
          <w:bottom w:w="0" w:type="dxa"/>
          <w:right w:w="0" w:type="dxa"/>
        </w:tblCellMar>
      </w:tblPr>
      <w:tblGrid>
        <w:gridCol w:w="38"/>
        <w:gridCol w:w="110"/>
        <w:gridCol w:w="74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0"/>
              <w:jc w:val="left"/>
              <w:rPr/>
            </w:pPr>
            <w:r>
              <w:rPr/>
              <w:t>changes in the estimation of the future size and growth rate of our markets;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1" w:name="zadfe740209b84ea7bbc4ba7aa4d6a10a"/>
      <w:bookmarkStart w:id="212" w:name="zadfe740209b84ea7bbc4ba7aa4d6a10a"/>
      <w:bookmarkEnd w:id="21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general economic and market conditions, including the wars between Israel and Hamas and between Russia and Ukraine.  </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price of our ordinary shares could also be affected by possible sales of our ordinary shares by investors who view our Convertible Notes as a more attractive means of equity participation in us and by hedging or arbitrage trading activity that may develop involving our ordinary shares and Convertible Notes.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An active trading market for our ordinary shares may not be sustained to provide adequate liquidity.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If we do not meet the expectations of equity research analysts, if they do not publish research or reports about our business or if they issue unfavorable commentary or downgrade our ordinary shares, the price of our ordinary shares could decline.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trading market for our ordinary shares relies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37</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Item 4. I</w:t>
      </w:r>
      <w:bookmarkStart w:id="213" w:name="Item4.I"/>
      <w:bookmarkEnd w:id="213"/>
      <w:r>
        <w:rPr>
          <w:b/>
          <w:sz w:val="20"/>
        </w:rPr>
        <w:t>nformation on the Company.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4" w:name="z8cc63e7ffd754e47b99191b50a9e3285"/>
      <w:bookmarkStart w:id="215" w:name="A.4"/>
      <w:bookmarkStart w:id="216" w:name="z8cc63e7ffd754e47b99191b50a9e3285"/>
      <w:bookmarkStart w:id="217" w:name="A.4"/>
      <w:bookmarkEnd w:id="216"/>
      <w:bookmarkEnd w:id="217"/>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before="0" w:after="283"/>
              <w:jc w:val="left"/>
              <w:rPr>
                <w:b/>
              </w:rPr>
            </w:pPr>
            <w:r>
              <w:rPr>
                <w:b/>
              </w:rPr>
              <w:t>A.</w:t>
            </w:r>
          </w:p>
        </w:tc>
        <w:tc>
          <w:tcPr>
            <w:tcW w:w="4325" w:type="dxa"/>
            <w:tcBorders/>
            <w:vAlign w:val="center"/>
          </w:tcPr>
          <w:p>
            <w:pPr>
              <w:pStyle w:val="TableContents"/>
              <w:bidi w:val="0"/>
              <w:spacing w:before="0" w:after="0"/>
              <w:jc w:val="left"/>
              <w:rPr>
                <w:b/>
              </w:rPr>
            </w:pPr>
            <w:r>
              <w:rPr>
                <w:b/>
              </w:rPr>
              <w:t>History and Development of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legal name is Fiverr International Ltd. and our commercial name is FIVERR.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were incorporated in Israel under the Companies Law in April 2010, and our principal executive office is located at 8 Eliezer Kaplan St., Tel Aviv 6473409, Israel. We are registered with the Israeli Registrar of Companies. Our registration number is 51-444087-4.</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agent for service of process in the United States is C T Corporation System and its address is 28 Liberty Street, New York, New York 10005.</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For a description of our principal capital expenditures and divestitures for the three years ended December 31, 2023 and for those currently in progress, see Item 5. “</w:t>
      </w:r>
      <w:r>
        <w:rPr>
          <w:i/>
          <w:sz w:val="20"/>
        </w:rPr>
        <w:t>Operating and Financial Review and Prospects.</w:t>
      </w:r>
      <w:r>
        <w:rPr>
          <w:sz w:val="20"/>
        </w:rPr>
        <w: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SEC maintains an Internet site that contains reports, proxy and information statements, and other information regarding issuers, such as we, that file electronically, with the SEC at www.sec.gov.</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website address is www.fiverr.com, and our telephone number is +972-72-2280910. Information contained on, or that can be accessed through our website does not constitute a part of this Annual Report and is not incorporated by reference herein. We have included our website address in this Annual Report solely for informational purposes.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8" w:name="zb53605df6aa74272915208d9e7cb700d"/>
      <w:bookmarkStart w:id="219" w:name="B.4"/>
      <w:bookmarkStart w:id="220" w:name="zb53605df6aa74272915208d9e7cb700d"/>
      <w:bookmarkStart w:id="221" w:name="B.4"/>
      <w:bookmarkEnd w:id="220"/>
      <w:bookmarkEnd w:id="221"/>
    </w:p>
    <w:tbl>
      <w:tblPr>
        <w:tblW w:w="2200" w:type="dxa"/>
        <w:jc w:val="left"/>
        <w:tblInd w:w="0" w:type="dxa"/>
        <w:tblLayout w:type="fixed"/>
        <w:tblCellMar>
          <w:top w:w="0" w:type="dxa"/>
          <w:left w:w="0" w:type="dxa"/>
          <w:bottom w:w="0" w:type="dxa"/>
          <w:right w:w="0" w:type="dxa"/>
        </w:tblCellMar>
      </w:tblPr>
      <w:tblGrid>
        <w:gridCol w:w="260"/>
        <w:gridCol w:w="1940"/>
      </w:tblGrid>
      <w:tr>
        <w:trPr/>
        <w:tc>
          <w:tcPr>
            <w:tcW w:w="260" w:type="dxa"/>
            <w:tcBorders/>
            <w:vAlign w:val="center"/>
          </w:tcPr>
          <w:p>
            <w:pPr>
              <w:pStyle w:val="TableContents"/>
              <w:bidi w:val="0"/>
              <w:spacing w:before="0" w:after="283"/>
              <w:jc w:val="left"/>
              <w:rPr>
                <w:b/>
              </w:rPr>
            </w:pPr>
            <w:r>
              <w:rPr>
                <w:b/>
              </w:rPr>
              <w:t>B.</w:t>
            </w:r>
          </w:p>
        </w:tc>
        <w:tc>
          <w:tcPr>
            <w:tcW w:w="1940" w:type="dxa"/>
            <w:tcBorders/>
            <w:vAlign w:val="center"/>
          </w:tcPr>
          <w:p>
            <w:pPr>
              <w:pStyle w:val="TableContents"/>
              <w:bidi w:val="0"/>
              <w:spacing w:before="0" w:after="0"/>
              <w:jc w:val="left"/>
              <w:rPr>
                <w:b/>
              </w:rPr>
            </w:pPr>
            <w:r>
              <w:rPr>
                <w:b/>
              </w:rPr>
              <w:t>Business Overview</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mission is to change how the world works together. We started with the simple idea that people should be able to buy and sell digital services in the same fashion as physical goods on an e-commerce platform. On that basis, we set out to design a digital services marketplace that is built with a comprehensive SKU-like services catalog and an efficient search, find and order process that mirrors a typical e-commerce transaction. We call this the Service-as-a-Product, or the SaaP model. Our approach fundamentally transforms the traditional freelancer staffing model into a customer centric, product led marketplace model with scale and efficiency.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believe our model has significantly reduced friction and uncertainties for both buyers and sellers. At the foundation of our core platform lies an expansive catalog with over 700 categories of productized service listings, which we coined as Gigs. Each Gig has a clearly defined scope, duration and price, along with buyer-generated reviews. In addition to the digital service catalog, we have also built a comprehensive talent database which not only includes sellers’ basic information such as where they are and the language they speak, but also intangible data on the level of their skills and the quality of their deliverables. Using either our search or navigation tools, buyers can easily compare and find talent and their service listings, and in turn purchase and fulfill their digital needs, ranging from simple services such as logo design and blog post writing, to complex services such as video creation, website development and social media marketing. In the year ended December 31, 2023, our platform enabled $1,134.7 million of GMV from 4.1 million active buyers.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business is built at the cross-section of multiple secular trends. In an era where technology is changing every part of the economy, the majority of freelancing is still conducted offline in an opaque, old-schooled fashion. The shift from offline to online provides broader access to opportunities and a much more transparent and seamless experience to both talent and businesses. Second, as millennials become the major part of the labor force, talent is increasingly looking for purpose and flexibility. They want to choose where they work, when they work and what they do for work. As a result, how to build and engage a remote and flexible workforce is becoming a critical part of talent strategy for any businesses. Third, the rapid advancement of technology, from social media and cloud computing to the latest wave of Generative AI, are creating new skills and demand for talent with new skills. Fiverr provides our customers with differentiated value propositions so that they can fulfill their digital service needs with unmatched speed and convenience.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a marketplace, we succeed when our buyers and sellers succeed. Our buyers include businesses of all sizes, and our sellers are a diverse group of freelancers and agencies from over 160 countries. We generate revenue primarily through transaction fees and service fees. In addition, we launched Fiverr Business Solutions, a comprehensive suite of professional solutions to enable larger businesses better engage with freelancers. This includes Fiverr Pro, a premium section of our marketplace; Fiverr Certified, a dedicated storefront to access certified experts for partner vendors; as well as Fiverr Enterprise, an integrated gateway to source and manage both on-demand and long-term freelancers. We have also developed multiple value-added products for our sellers to empower their entire freelance journey, including Promoted Gigs which allows sellers to advertise their services on our platform and Seller Plus, a subscription program that equips sellers with advanced tools, to name a few. These products are designed to enhance the value we deliver to our buyers and sellers, strengthen our business model, and propel the flywheel of our two-sided marketplace.</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38</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Technology is at the core of everything we do. Our proprietary machine learning algorithms, together with our dataset on profiling, transaction and user behavior, which rapidly grows with increasing buyer and seller engagement, enable us to personalize our user experience, improve quality and provide a more robust ecosystem. We are focused on constant innovation and have designed our platform such that we can continuously enhance the value we deliver to our buyers and sellers.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achieved significant growth and scale since inception. In the years ended December 31, 2023, 2022 and 2021, our revenue was $361.4 million, $337.4 million and $297.7 million, respectively, a 7% and 13% increase, respectively, and we incurred net income (loss) of $3.7 million, ($71.5) million and ($65.0) million, respectively. Geographically, the substantial majority of our revenue is generated from buyers in English speaking countries. As we expand our platform to include additional languages, we expect to deepen our penetration into Western Europe, Asia Pacific and Latin America, and the geographic mix of our revenue could therefore change over time. For a description of the principal markets in which we compete, including a breakdown of total revenues see Item 5. “</w:t>
      </w:r>
      <w:r>
        <w:rPr>
          <w:i/>
          <w:sz w:val="20"/>
        </w:rPr>
        <w:t>Operating and Financial Review and Prospects</w:t>
      </w:r>
      <w:r>
        <w:rPr>
          <w:sz w:val="20"/>
        </w:rPr>
        <w:t> - </w:t>
      </w:r>
      <w:r>
        <w:rPr>
          <w:i/>
          <w:sz w:val="20"/>
        </w:rPr>
        <w:t>Our Business Model”.</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Since inception, our vision has been to fundamentally transform the traditional freelancer hiring model into an e-commerce-like experience — seamless, efficient and frictionless. To achieve our vision, the Fiverr platform is built with a comprehensive SKU-like services catalog and an efficient search, find and order process that mirrors a typical e-commerce transaction. We believe that our model reduces friction and uncertainties for our buyers while enabling our sellers to reach a global audience, enjoy more flexibility and choice of work and make more money. The key elements of our platform include: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Service-as-a-Product model. </w:t>
      </w:r>
      <w:r>
        <w:rPr>
          <w:sz w:val="20"/>
        </w:rPr>
        <w:t>We operate a differentiated SaaP platform that allows sellers to offer services embedded with features that can be standardized and cataloged. Our core platform enables digital services to be bought and sold in the same fashion as physical goods on an e-commerce platform, with predictable pricing, easy searches, standardized contracts, easy payment processes and streamlined delivery of the service. Upon purchasing a Gig on Fiverr, a buyer knows the scope, duration and price.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Comprehensive and diverse catalog. </w:t>
      </w:r>
      <w:r>
        <w:rPr>
          <w:sz w:val="20"/>
        </w:rPr>
        <w:t>At the foundation of our core platform is an expansive catalog of Gigs that currently spans over 700 digital service categories. We believe that our catalog coverage is broader than many of our competitors, and we are focused on continuously growing this catalog. Today, buyers can purchase digital services ranging from simple services such as logo design and blog post writing, to complex services such as video creation, website development and social media marketing, all easily and with just a few clicks. We believe that this approach is fundamentally different from either traditional offline or online long-term temporary employment solutions. Unlike such traditional solutions, each Gig on Fiverr is listed with a clearly defined scope and timeline and is sold for a fixed price rather than on an hourly basis.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Technology and data assets. </w:t>
      </w:r>
      <w:r>
        <w:rPr>
          <w:sz w:val="20"/>
        </w:rPr>
        <w:t>We are a technology company. Our platform is powered by our machine learning technology and expansive data assets. Using our extensive data assets and our AI tools, we are able to continuously optimize our product search capabilities, personalize our user experience, refine our matching algorithm and monitor our service quality. For example, Fiverr Logo Maker leverages our AI technology to allow graphic designers on our platform to monetize their existing designs, deliver their work faster and serve more customers, while allowing buyers to rapidly personalize and customize original, handmade designs created by sellers. By better predicting a buyer’s future needs, our algorithms improve user satisfaction, which in turn increases repeat or cross category buying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Tools and infrastructure. </w:t>
      </w:r>
      <w:r>
        <w:rPr>
          <w:sz w:val="20"/>
        </w:rPr>
        <w:t>We built a comprehensive suite of communication and collaboration functions that our buyers and sellers utilize to communicate throughout the entire transaction lifecycle. We also provide a robust end to end technology infrastructure and tools to help our sellers manage key functions of their business on our platform, such as proposals and contracts, invoicing and payments, project management and marketing. We also invest in building an infrastructure for international expansion that allows us to roll out six non English websites and provide multilingual support to our users.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Fiverr Business Solutions.</w:t>
      </w:r>
      <w:r>
        <w:rPr>
          <w:sz w:val="20"/>
        </w:rPr>
        <w:t xml:space="preserve"> We recently launched Fiverr Business Solutions to allow larger companies access and work with freelancers across multiple use cases and engagement scenarios. It includes Fiverr Pro, a premium section of our marketplace; Fiverr Certified, a dedicated storefront to access certified experts for partner vendors; as well as Fiverr Enterprise, an integrated gateway to source and manage both on-demand and long-term freelancers.</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b/>
          <w:i/>
          <w:sz w:val="20"/>
        </w:rPr>
        <w:t>Seller tools</w:t>
      </w:r>
      <w:r>
        <w:rPr>
          <w:b/>
          <w:sz w:val="20"/>
        </w:rPr>
        <w:t>. </w:t>
      </w:r>
      <w:r>
        <w:rPr>
          <w:sz w:val="20"/>
        </w:rPr>
        <w:t>We offer an ecosystem of value-added products that empowers our sellers to grow their business on Fiverr and build a successful freelancing career. For example, Promoted Gigs is an advertising tool that allows sellers to promote their services on our platform. Seller Plus is a subscription program that equips sellers with advanced tools such as advanced analytics, advanced marketing capabilities, priority in customer support and access to success managers. We also offer advanced financial tools such as faster withdrawal, local currency payout and cash advance to a select number of sellers.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39</w:t>
      </w:r>
    </w:p>
    <w:p>
      <w:pPr>
        <w:pStyle w:val="HorizontalLine"/>
        <w:bidi w:val="0"/>
        <w:spacing w:before="200" w:after="200"/>
        <w:jc w:val="left"/>
        <w:rPr/>
      </w:pPr>
      <w:r>
        <w:rPr/>
      </w:r>
    </w:p>
    <w:p>
      <w:pPr>
        <w:pStyle w:val="TextBody"/>
        <w:bidi w:val="0"/>
        <w:spacing w:lineRule="auto" w:line="300" w:before="0" w:after="0"/>
        <w:ind w:left="0" w:right="0" w:firstLine="720"/>
        <w:jc w:val="left"/>
        <w:rPr/>
      </w:pPr>
      <w:r>
        <w:rPr/>
      </w:r>
    </w:p>
    <w:p>
      <w:pPr>
        <w:pStyle w:val="TextBody"/>
        <w:bidi w:val="0"/>
        <w:spacing w:lineRule="auto" w:line="300" w:before="0" w:after="0"/>
        <w:jc w:val="left"/>
        <w:rPr>
          <w:b/>
          <w:sz w:val="20"/>
        </w:rPr>
      </w:pPr>
      <w:r>
        <w:rPr>
          <w:b/>
          <w:sz w:val="20"/>
        </w:rPr>
        <w:t>Who we serve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Our buyers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buyers include individuals and businesses of all sizes and from various industries.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the year ended December 31, 2023, we served 4.1 million active buyers from over 160 countries across the globe.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Our value proposition to buyers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Value for money. </w:t>
      </w:r>
      <w:r>
        <w:rPr>
          <w:sz w:val="20"/>
        </w:rPr>
        <w:t>We provide what we believe to be the best value for money for our buyers by alleviating frictions and inefficiencies in the value chain. Our expansive digital services catalog enables us to offer sophisticated browsing and filtering functions. We believe that this results in a lower time-to-hire for buyers compared to traditional offline hiring platforms, saving buyers valuable time.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Access to an expansive catalog of digital services. </w:t>
      </w:r>
      <w:r>
        <w:rPr>
          <w:sz w:val="20"/>
        </w:rPr>
        <w:t>Our catalog of digital services has over 700 categories and continues to grow and evolve. Prices can range from $5 to thousands of dollars, depending on the scope and perceived quality of each individual Gig. We continue to develop both the breadth and depth of our catalog in order to provide our buyers with access to the services they need.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Access to a diverse pool of freelancers. </w:t>
      </w:r>
      <w:r>
        <w:rPr>
          <w:sz w:val="20"/>
        </w:rPr>
        <w:t>We provide instant access to hundreds of thousands of freelancers with a broad set of skills. Using Fiverr, buyers can easily connect with these freelancers and get a broad range of digitally delivered services executed quickly and efficiently.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Transparency and certainty of price, scope of work and quality. </w:t>
      </w:r>
      <w:r>
        <w:rPr>
          <w:sz w:val="20"/>
        </w:rPr>
        <w:t>Our SaaP model enables transparency and certainty when it comes to cost, duration and scope. Our buyer-driven rating system provides a transparent quality rating mechanism for every Gig, helping buyers make informed purchasing decisions. This system ensures that our buyers have added peace of mind with every purchase.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Trusted brand for customer service. </w:t>
      </w:r>
      <w:r>
        <w:rPr>
          <w:sz w:val="20"/>
        </w:rPr>
        <w:t>We are relentlessly focused on providing quality customer service as we seek to drive repeat purchase behavior. Our dispute resolution technology enables us to flag issues in a timely manner and to guide users to a solution, whether that solution is our self-service support portal or intervention by our customer support team.</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Our sellers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sellers are a diverse group of freelancers who we believe value the flexibility and financial opportunity our core platform provides. They range from individuals who use our core platform to earn their full-time living to those who augment their income.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Our value proposition to sellers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Maximize project pipeline. </w:t>
      </w:r>
      <w:r>
        <w:rPr>
          <w:sz w:val="20"/>
        </w:rPr>
        <w:t>Sellers on our core platform do not need to bid to win a project. Instead, they list the service on our core platform with a well-defined scope, duration and price, and our proprietary technology directly matches them with buyers who are looking for the service they provide. As a result, sellers can list their Gigs on our core platform and focus on the work they love doing while maximizing their earning potential.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Flexibility and control. </w:t>
      </w:r>
      <w:r>
        <w:rPr>
          <w:sz w:val="20"/>
        </w:rPr>
        <w:t>People increasingly want to choose where they work, when they work and what they do for work. Our core platform embraces habitual changes in the workforce and provides freelancers with the ability to find work and offer their services from anywhere in the world at any point in time.</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40</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Frictionless payment processing. </w:t>
      </w:r>
      <w:r>
        <w:rPr>
          <w:sz w:val="20"/>
        </w:rPr>
        <w:t>Getting paid on time after project completion has historically been an uncertain and time-consuming process for sellers. We eliminate this friction by working with third-party agents to collect the funds from the buyer at the time of purchase and timely release them to the seller upon project completion.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Credentialed storefront. </w:t>
      </w:r>
      <w:r>
        <w:rPr>
          <w:sz w:val="20"/>
        </w:rPr>
        <w:t>We enable our sellers to professionally showcase their services to buyers, establish a track record, develop a buyer base and build a professional reputation on our core platform. Our online seller forum, offline community events and Fiverr Learn, our e-learning platform, provide additional channels for our sellers to further enhance their skills and build their personal brand and digital storefront with us.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Business support infrastructure.</w:t>
      </w:r>
      <w:r>
        <w:rPr>
          <w:sz w:val="20"/>
        </w:rPr>
        <w:t> We provide access to a robust set of technology tools for our sellers that enable them to manage all of the administrative aspects of their business, such as providing standardized contracts, invoicing and payment, financial reporting, marketing and real-time performance feedback. This infrastructure allows our sellers to track their performance and manage their business efficiently.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Success management and support.</w:t>
      </w:r>
      <w:r>
        <w:rPr>
          <w:sz w:val="20"/>
        </w:rPr>
        <w:t> We provide our sellers with a comprehensive suite of onboarding resources, and our online help desk and offline customer care team provide 24/7 support to ensure sellers succeed in all stages of their freelance journey. We take care of the entire buyer engagement, business development and marketing process for our sellers so they simply need to list their Gigs on our core platform and focus on the work they love to maximize their earning potential. For those sellers new to the business, we help them gain access to buyers so that they can quickly start developing their reputation. For the more experienced and professional sellers, we provide them with offerings such as Promoted Gigs and Seller Plus to help them grow their business on Fiverr.</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41</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Our products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Buyer experience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present our buyers with an e-commerce experience that is designed for streamlined browsing, searching and purchasing.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Home</w:t>
      </w:r>
      <w:r>
        <w:rPr>
          <w:sz w:val="20"/>
        </w:rPr>
        <w:t>. Buyer’s homepage provides a personalized gateway for buyers to find talent and manage existing projects. We recently launched Fiverr Neo, an AI-powered matching assistant, to provide a more flexible way for buyers to express their needs and find talent that is tailored for their needs.</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9115425" cy="846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77" t="-83" r="-77" b="-83"/>
                    <a:stretch>
                      <a:fillRect/>
                    </a:stretch>
                  </pic:blipFill>
                  <pic:spPr bwMode="auto">
                    <a:xfrm>
                      <a:off x="0" y="0"/>
                      <a:ext cx="9115425" cy="8467725"/>
                    </a:xfrm>
                    <a:prstGeom prst="rect">
                      <a:avLst/>
                    </a:prstGeom>
                    <a:ln w="635">
                      <a:solidFill>
                        <a:srgbClr val="000000"/>
                      </a:solidFill>
                    </a:ln>
                  </pic:spPr>
                </pic:pic>
              </a:graphicData>
            </a:graphic>
          </wp:inline>
        </w:drawing>
      </w:r>
    </w:p>
    <w:p>
      <w:pPr>
        <w:pStyle w:val="TextBody"/>
        <w:bidi w:val="0"/>
        <w:spacing w:lineRule="auto" w:line="300" w:before="0" w:after="0"/>
        <w:ind w:left="0" w:right="0" w:firstLine="720"/>
        <w:jc w:val="left"/>
        <w:rPr>
          <w:sz w:val="20"/>
        </w:rPr>
      </w:pPr>
      <w:r>
        <w:rPr>
          <w:i/>
          <w:sz w:val="20"/>
        </w:rPr>
        <w:t>Search and discovery. </w:t>
      </w:r>
      <w:r>
        <w:rPr>
          <w:sz w:val="20"/>
        </w:rPr>
        <w:t>Our SaaP model provides buyers access to an extensive catalog of Gigs that they can compare and filter across parameters including Gig details, reviews and price. Each Gig includes the details of the service provided, the price, delivery timeframe and reviews from previous buyers of that Gig, allowing buyers to make informed decisions based on their needs, budgets and tastes. Leveraging our end-to-end transaction platform and the depth of transaction data, we launched Fiverr Discover, an innovative way to browse and shop for digital services based on sellers and their portfolio. Our search, browse and recommendation algorithms are designed to match each buyer’s search with the most relevant Gig and seller results. With each buyer interaction, our platform and machine learning algorithms enable us to offer more personalized recommendation carousels that are presented in relevant places along the buyer journey.</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42</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Personalizable options. </w:t>
      </w:r>
      <w:r>
        <w:rPr>
          <w:sz w:val="20"/>
        </w:rPr>
        <w:t>We believe many of our buyers are motivated by more than simply price and convenience; we believe they also value uniqueness and authenticity. On our marketplace, buyers enjoy a personalized experience and direct interactions with our sellers. As part of our Gig concept, buyers purchase ‘Packages’ associated with each Gig. Packages are tiered as Basic, Standard and Premium, each with different levels of service such as different word counts for a translation, video lengths for a video edit or number of revisions for a logo design. We facilitate further customization through brief and match and custom orders. A buyer can request a custom order through our platform with his or her unique requirements. Sellers, in turn, can respond to the order request with custom offers, which are exclusive proposals, with the exact description of the service, price and time expected to deliver the service. For certain categories and gigs, we also allow buyers to make recurring purchases through the Subscriptions feature, or to break down a large project into multiple purchases through the Milestones feature.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Communication and collaboration. </w:t>
      </w:r>
      <w:r>
        <w:rPr>
          <w:sz w:val="20"/>
        </w:rPr>
        <w:t>Communication between buyers and sellers is essential to the success of our marketplace. Our messenger tool enables buyers to easily communicate with sellers. Buyers are able to describe their requirements and preferences during the pre-order process and the communication channels for process management and coordination remain open over the lifecycle of the Gig. As part of deliverable acceptance, buyers may utilize our “Request Revisions” feature to further refine the deliverable, if desired.</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9601200" cy="6010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55" t="-88" r="-55" b="-88"/>
                    <a:stretch>
                      <a:fillRect/>
                    </a:stretch>
                  </pic:blipFill>
                  <pic:spPr bwMode="auto">
                    <a:xfrm>
                      <a:off x="0" y="0"/>
                      <a:ext cx="9601200" cy="6010275"/>
                    </a:xfrm>
                    <a:prstGeom prst="rect">
                      <a:avLst/>
                    </a:prstGeom>
                    <a:ln w="635">
                      <a:solidFill>
                        <a:srgbClr val="000000"/>
                      </a:solidFill>
                    </a:ln>
                  </pic:spPr>
                </pic:pic>
              </a:graphicData>
            </a:graphic>
          </wp:inline>
        </w:drawing>
      </w:r>
      <w:r>
        <w:rPr/>
        <w:t xml:space="preserve"> </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Support and intervention. </w:t>
      </w:r>
      <w:r>
        <w:rPr>
          <w:sz w:val="20"/>
        </w:rPr>
        <w:t>Our user support function is available throughout the buyer journey to provide clarification, help, education and support. Our resolution center helps buyers to resolve disputes online, and our 24/7 ticketing system is available should a buyer encounter a more complex problem. In addition to the on-demand help and support, we have developed a set of intervention algorithms, which leverage our data and knowledge, to automatically flag potential issues to our customer support team so they can intervene and offer guidance, education and support to our buyers.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Quality control. </w:t>
      </w:r>
      <w:r>
        <w:rPr>
          <w:sz w:val="20"/>
        </w:rPr>
        <w:t>We have developed several quality assurance policies to enhance the reliability and integrity of our marketplace. Our algorithms assess each freelancer and Gig on our platform and assign a quality score based on a number of factors, such as buyer rating, cancellation rates and response time. The quality score is considered in our matching algorithms and is integral to the positioning of a seller’s Gig on our website. In addition, help tools are available for both buyers and sellers alike for when issues need to be raised to our customer support team. We constantly monitor activity on our platform to ensure compliance with our terms of service, as we seek to create a consistent and reliable user experience for our buyers.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Fiverr Pro</w:t>
      </w:r>
      <w:r>
        <w:rPr>
          <w:sz w:val="20"/>
        </w:rPr>
        <w:t>. Fiverr Pro is a premium section of the marketplace where buyers can enjoy collaboration and administrative tools tailored for larger organizations. In addition, Fiverr Pro buyers can access a carefully curated freelancer catalog that is fully vetted by industry experts.</w:t>
      </w:r>
    </w:p>
    <w:p>
      <w:pPr>
        <w:pStyle w:val="TextBody"/>
        <w:bidi w:val="0"/>
        <w:spacing w:lineRule="auto" w:line="300" w:before="0" w:after="0"/>
        <w:jc w:val="left"/>
        <w:rPr/>
      </w:pPr>
      <w:r>
        <w:rPr/>
        <w:t> </w:t>
      </w:r>
    </w:p>
    <w:p>
      <w:pPr>
        <w:pStyle w:val="TextBody"/>
        <w:bidi w:val="0"/>
        <w:spacing w:lineRule="auto" w:line="300" w:before="0" w:after="0"/>
        <w:jc w:val="center"/>
        <w:rPr/>
      </w:pPr>
      <w:r>
        <w:rPr/>
        <w:t> </w:t>
      </w:r>
      <w:r>
        <w:rPr/>
        <w:drawing>
          <wp:inline distT="0" distB="0" distL="0" distR="0">
            <wp:extent cx="9601200" cy="6134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rcRect l="-37" t="-58" r="-37" b="-58"/>
                    <a:stretch>
                      <a:fillRect/>
                    </a:stretch>
                  </pic:blipFill>
                  <pic:spPr bwMode="auto">
                    <a:xfrm>
                      <a:off x="0" y="0"/>
                      <a:ext cx="9601200" cy="6134100"/>
                    </a:xfrm>
                    <a:prstGeom prst="rect">
                      <a:avLst/>
                    </a:prstGeom>
                    <a:ln w="635">
                      <a:solidFill>
                        <a:srgbClr val="000000"/>
                      </a:solidFill>
                    </a:ln>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Fiverr Certified</w:t>
      </w:r>
      <w:r>
        <w:rPr>
          <w:sz w:val="20"/>
        </w:rPr>
        <w:t>. Fiverr Certified are custom marketplaces that provide customers with specific use cases and freelancer needs. Each Fiverr Certified marketplace is a dedicated destination built together with our partners that include only the most relevant services and certified experts for those services.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44</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Fiverr Enterprise</w:t>
      </w:r>
      <w:r>
        <w:rPr>
          <w:sz w:val="20"/>
        </w:rPr>
        <w:t>. Fiverr Enterprise is an integrated gateway for businesses to source and manage both on-demand and long-term freelancers.</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10401300" cy="5848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rcRect l="-39" t="-69" r="-39" b="-69"/>
                    <a:stretch>
                      <a:fillRect/>
                    </a:stretch>
                  </pic:blipFill>
                  <pic:spPr bwMode="auto">
                    <a:xfrm>
                      <a:off x="0" y="0"/>
                      <a:ext cx="10401300" cy="5848350"/>
                    </a:xfrm>
                    <a:prstGeom prst="rect">
                      <a:avLst/>
                    </a:prstGeom>
                    <a:ln w="635">
                      <a:solidFill>
                        <a:srgbClr val="000000"/>
                      </a:solidFill>
                    </a:ln>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Seller experience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offer a set of tools for sellers to build their Gigs, develop their brand, establish a reputation and create their work portfolio. Sellers can manage their business from any browser or from our mobile apps.</w:t>
      </w:r>
    </w:p>
    <w:p>
      <w:pPr>
        <w:pStyle w:val="TextBody"/>
        <w:bidi w:val="0"/>
        <w:spacing w:lineRule="auto" w:line="300" w:before="0" w:after="0"/>
        <w:jc w:val="center"/>
        <w:rPr/>
      </w:pPr>
      <w:r>
        <w:rPr/>
        <w:t> </w:t>
      </w:r>
      <w:r>
        <w:rPr/>
        <w:drawing>
          <wp:inline distT="0" distB="0" distL="0" distR="0">
            <wp:extent cx="109728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rcRect l="-55" t="-88" r="-55" b="-88"/>
                    <a:stretch>
                      <a:fillRect/>
                    </a:stretch>
                  </pic:blipFill>
                  <pic:spPr bwMode="auto">
                    <a:xfrm>
                      <a:off x="0" y="0"/>
                      <a:ext cx="10972800" cy="6858000"/>
                    </a:xfrm>
                    <a:prstGeom prst="rect">
                      <a:avLst/>
                    </a:prstGeom>
                    <a:ln w="635">
                      <a:solidFill>
                        <a:srgbClr val="000000"/>
                      </a:solidFill>
                    </a:ln>
                  </pic:spPr>
                </pic:pic>
              </a:graphicData>
            </a:graphic>
          </wp:inline>
        </w:drawing>
      </w:r>
    </w:p>
    <w:p>
      <w:pPr>
        <w:pStyle w:val="TextBody"/>
        <w:bidi w:val="0"/>
        <w:spacing w:lineRule="auto" w:line="300" w:before="0" w:after="0"/>
        <w:jc w:val="center"/>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left"/>
        <w:rPr>
          <w:sz w:val="20"/>
        </w:rPr>
      </w:pPr>
      <w:r>
        <w:rPr>
          <w:i/>
          <w:sz w:val="20"/>
        </w:rPr>
        <w:t>Seller onboarding. </w:t>
      </w:r>
      <w:r>
        <w:rPr>
          <w:sz w:val="20"/>
        </w:rPr>
        <w:t>We have developed an automated onboarding process designed to educate and guide new sellers through the creation of their seller profile (their storefront), Gigs (the services they sell) and portfolio (a collection of their work samples). Once a seller is onboarded, each Gig they offer becomes a part of the Fiverr catalog.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Business management. </w:t>
      </w:r>
      <w:r>
        <w:rPr>
          <w:sz w:val="20"/>
        </w:rPr>
        <w:t>To allow sellers to focus on doing what they love, we provide a comprehensive suite of tools that help them manage administrative aspects of their business, such as workflow prioritization, invoicing and payment processing. Additional communication tools further enhance a seller’s ability to communicate with buyers as well as to collaborate on Gigs with other sellers. Our seller dashboard provides a unified work management interface that consolidates key information from our seller tools and performance metrics, allowing sellers to more effectively manage their business.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46</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Analytics. </w:t>
      </w:r>
      <w:r>
        <w:rPr>
          <w:sz w:val="20"/>
        </w:rPr>
        <w:t>Our suite of tools provides sellers with detailed analytics on their operations, facilitating greater transparency and insight into business and performance indicators, including Gig revenue, order pipeline and ratings. Gig specific analytics allow sellers to better understand their past performance in order to improve their future performance. Sellers are also provided with real-time feedback on their performance in timeliness of delivery, responsiveness and completion rates via our </w:t>
      </w:r>
      <w:r>
        <w:rPr>
          <w:i/>
          <w:sz w:val="20"/>
        </w:rPr>
        <w:t>seller</w:t>
      </w:r>
      <w:r>
        <w:rPr>
          <w:sz w:val="20"/>
        </w:rPr>
        <w:t> dashboard. In addition, Seller Plus subscribers now get access to advanced analytics features such as traffic and keyword analytics. As such, our analytics capabilities give sellers increased visibility into their performance and a better understanding of what is important to buyers so that they have the feedback to continuously improve.</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center"/>
        <w:rPr/>
      </w:pPr>
      <w:r>
        <w:rPr/>
        <w:drawing>
          <wp:inline distT="0" distB="0" distL="0" distR="0">
            <wp:extent cx="9601200" cy="10620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rcRect l="-55" t="-50" r="-55" b="-50"/>
                    <a:stretch>
                      <a:fillRect/>
                    </a:stretch>
                  </pic:blipFill>
                  <pic:spPr bwMode="auto">
                    <a:xfrm>
                      <a:off x="0" y="0"/>
                      <a:ext cx="9601200" cy="10620375"/>
                    </a:xfrm>
                    <a:prstGeom prst="rect">
                      <a:avLst/>
                    </a:prstGeom>
                    <a:ln w="635">
                      <a:solidFill>
                        <a:srgbClr val="000000"/>
                      </a:solidFill>
                    </a:ln>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center"/>
        <w:rPr/>
      </w:pPr>
      <w:r>
        <w:rPr/>
      </w:r>
    </w:p>
    <w:p>
      <w:pPr>
        <w:pStyle w:val="TextBody"/>
        <w:bidi w:val="0"/>
        <w:spacing w:lineRule="auto" w:line="300" w:before="0" w:after="0"/>
        <w:jc w:val="left"/>
        <w:rPr/>
      </w:pPr>
      <w:r>
        <w:rPr/>
      </w:r>
    </w:p>
    <w:p>
      <w:pPr>
        <w:pStyle w:val="TextBody"/>
        <w:bidi w:val="0"/>
        <w:spacing w:lineRule="auto" w:line="300" w:before="0" w:after="0"/>
        <w:jc w:val="center"/>
        <w:rPr/>
      </w:pPr>
      <w:r>
        <w:rPr/>
      </w:r>
    </w:p>
    <w:p>
      <w:pPr>
        <w:pStyle w:val="TextBody"/>
        <w:bidi w:val="0"/>
        <w:spacing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Advertising. </w:t>
      </w:r>
      <w:r>
        <w:rPr>
          <w:sz w:val="20"/>
        </w:rPr>
        <w:t>To help sellers increase visibility and grow their business on Fiverr, we built an advertising tool, Promoted Gigs, that allows sellers to bid and win prime locations on our website through an auction mechanism. Promoted Gigs are cost-per-click, so sellers are charged only when their ads are viewed and clicked by the buyer. Sellers decide a daily budget and the maximum bid per click, and we also provide automatic bidding tools to help sellers optimize their bid price and maximize their exposure with minimum efforts on their part.</w:t>
      </w:r>
    </w:p>
    <w:p>
      <w:pPr>
        <w:pStyle w:val="TextBody"/>
        <w:bidi w:val="0"/>
        <w:spacing w:lineRule="auto" w:line="300" w:before="0" w:after="0"/>
        <w:ind w:left="0" w:right="0" w:firstLine="720"/>
        <w:jc w:val="center"/>
        <w:rPr/>
      </w:pPr>
      <w:r>
        <w:rPr/>
      </w:r>
    </w:p>
    <w:p>
      <w:pPr>
        <w:pStyle w:val="TextBody"/>
        <w:bidi w:val="0"/>
        <w:spacing w:lineRule="auto" w:line="300" w:before="0" w:after="0"/>
        <w:ind w:left="0" w:right="0" w:firstLine="720"/>
        <w:jc w:val="center"/>
        <w:rPr/>
      </w:pPr>
      <w:r>
        <w:rPr/>
        <w:drawing>
          <wp:inline distT="0" distB="0" distL="0" distR="0">
            <wp:extent cx="11106150" cy="6819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rcRect l="-48" t="-78" r="-48" b="-78"/>
                    <a:stretch>
                      <a:fillRect/>
                    </a:stretch>
                  </pic:blipFill>
                  <pic:spPr bwMode="auto">
                    <a:xfrm>
                      <a:off x="0" y="0"/>
                      <a:ext cx="11106150" cy="6819900"/>
                    </a:xfrm>
                    <a:prstGeom prst="rect">
                      <a:avLst/>
                    </a:prstGeom>
                    <a:ln w="635">
                      <a:solidFill>
                        <a:srgbClr val="000000"/>
                      </a:solidFill>
                    </a:ln>
                  </pic:spPr>
                </pic:pic>
              </a:graphicData>
            </a:graphic>
          </wp:inline>
        </w:drawing>
      </w:r>
    </w:p>
    <w:p>
      <w:pPr>
        <w:pStyle w:val="TextBody"/>
        <w:bidi w:val="0"/>
        <w:spacing w:lineRule="auto" w:line="300" w:before="0" w:after="0"/>
        <w:ind w:left="0" w:right="0" w:firstLine="72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48</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Seller Plus</w:t>
      </w:r>
      <w:r>
        <w:rPr>
          <w:sz w:val="20"/>
        </w:rPr>
        <w:t>. Seller Plus is a subscription-based loyalty program which provides sellers with additional tools to help accelerate their business on our marketplace. Seller Plus subscribers have access to a dedicated customer success manager, advanced analytics features, faster payment clearance, customer engagement tools, and other exclusive benefits.</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9220200" cy="9486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rcRect l="-60" t="-58" r="-60" b="-58"/>
                    <a:stretch>
                      <a:fillRect/>
                    </a:stretch>
                  </pic:blipFill>
                  <pic:spPr bwMode="auto">
                    <a:xfrm>
                      <a:off x="0" y="0"/>
                      <a:ext cx="9220200" cy="9486900"/>
                    </a:xfrm>
                    <a:prstGeom prst="rect">
                      <a:avLst/>
                    </a:prstGeom>
                    <a:ln w="635">
                      <a:solidFill>
                        <a:srgbClr val="000000"/>
                      </a:solidFill>
                    </a:ln>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Learning and education. </w:t>
      </w:r>
      <w:r>
        <w:rPr>
          <w:sz w:val="20"/>
        </w:rPr>
        <w:t>On our proprietary learning platform, we provide sellers access to an education center with comprehensive information on how to grow as a freelancer as well as become a more effective seller on Fiverr. We offer tutorials and materials on the use of Fiverr infrastructure tools, allowing sellers to get the most out of their experience on our core platform. This is supplemented by our Seller Help Center, which allows sellers to open tickets with customer support as well as access a comprehensive set of FAQs and how-to videos. We also provide access to a library of high quality educational content through Fiverr Learn and CreativeLive to help freelancers improve their skills and grow professionally. </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49</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Our technology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To help our buyers and sellers transact on our platform, we have built a modular and scalable technology platform that supports our business while protecting operational integrity and performance. Technology is at the core of everything we do and is a key business asset and enabler. We continuously invest in our technology and believe that our focus on innovation gives us a competitive advantage.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core pillars that support the foundation of our platform are: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Digital services as products. </w:t>
      </w:r>
      <w:r>
        <w:rPr>
          <w:sz w:val="20"/>
        </w:rPr>
        <w:t>At the core of our platform lies the challenge of productizing digital services and making them available on our e-commerce platform. Our proprietary technology allows for turning non-SKU digital services into structured Gigs, enabling continuous and nimble category expansion. We are also developing depth for each category by developing attributes and experiences specific to each service category. Our innovative catalog of productized services allows us to create an e-commerce-like experience with digital services that includes search, browse, compare and purchase functions.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Scalable, modular and modern technology platform</w:t>
      </w:r>
      <w:r>
        <w:rPr>
          <w:b/>
          <w:sz w:val="20"/>
        </w:rPr>
        <w:t>. </w:t>
      </w:r>
      <w:r>
        <w:rPr>
          <w:sz w:val="20"/>
        </w:rPr>
        <w:t>Our platform is built as a collection of modules that can be individually modified or added without redeploying the entire code base. This approach allows each of our product teams to develop autonomously, giving us the flexibility to constantly develop new features, expand capacity, adopt new technologies and integrate new libraries, which facilitate the continuous enhancement of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Advanced data science capabilities</w:t>
      </w:r>
      <w:r>
        <w:rPr>
          <w:b/>
          <w:sz w:val="20"/>
        </w:rPr>
        <w:t>. </w:t>
      </w:r>
      <w:r>
        <w:rPr>
          <w:sz w:val="20"/>
        </w:rPr>
        <w:t>Our rich set of proprietary algorithms that power our real time personalized recommendations, ranking and matching help us match each buyer with the most relevant Gigs based on their business needs and preferences. We leverage predictive AI technologies to recommend Gigs to buyers based on their purchase history and other activity on our marketplace. Our algorithm has been designed to handle rapid and continuous growth in search queries. Further, it is also utilized to improve the liquidity between supply and demand on our marketplace, ensuring that seller capacity and buyer demands are in balance. We are data-centric and rely on data from disciplined A/B testing, buyer and seller studies and other sources to inform all of our decisions on new platform enhancements. Our search algorithm uses our large data set from our Gigs, transactions and users to optimize Gig matches and user experience for our buyers.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Clear and simple cross-platform user experience</w:t>
      </w:r>
      <w:r>
        <w:rPr>
          <w:b/>
          <w:sz w:val="20"/>
        </w:rPr>
        <w:t>. </w:t>
      </w:r>
      <w:r>
        <w:rPr>
          <w:sz w:val="20"/>
        </w:rPr>
        <w:t>We utilize modern front-end technologies and design concepts to offer our users a simple and intuitive user interface. We continuously strive to simplify the user experience and enhance the efficiency of purchasing Gigs on our platform. We strive to offer a consistent experience across all major devices and operating systems. Our mobile app is a great example of our focus on user experience, design and implementation. It is highly rated by our users in both the Apple App Store and the Google Play Store. We constantly try to optimize and simplify the user experience at each stage of a transaction.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Reliability</w:t>
      </w:r>
      <w:r>
        <w:rPr>
          <w:b/>
          <w:sz w:val="20"/>
        </w:rPr>
        <w:t>. </w:t>
      </w:r>
      <w:r>
        <w:rPr>
          <w:sz w:val="20"/>
        </w:rPr>
        <w:t>We use third-party cloud-based services to host our platform, striving to run on the latest and most modern cloud technologies. Our research and development capabilities paired with our development tools allow us to develop and deploy new products reliably without disruptions to our live instance. We have also embedded extensive monitoring and alerting infrastructure into our platform to maintain reliability and platform performance.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b/>
          <w:i/>
          <w:sz w:val="20"/>
        </w:rPr>
        <w:t>Security</w:t>
      </w:r>
      <w:r>
        <w:rPr>
          <w:b/>
          <w:sz w:val="20"/>
        </w:rPr>
        <w:t>. </w:t>
      </w:r>
      <w:r>
        <w:rPr>
          <w:sz w:val="20"/>
        </w:rPr>
        <w:t>Information security is one of the key pillars of our business. We protect our users’ data and our company through a combination of security procedures and technology tools, and we are committed to ensuring that our platform remains secure. We monitor our cloud infrastructure for malicious activity and unauthorized access, while analyzing and responding to threats. We utilize various safeguards and protection tools, managed by our in-house team and external consultants. In addition, we conduct regular tests and scans to detect and mitigate possible known internal or external weaknesses in our systems.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Go-to-market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primarily grow our buyer base through performance marketing and brand investments using a bottom up approach. Our goal is to target individuals and teams who work in various business functions at companies of different sizes across different industries. Our unique SaaP model eliminates uncertainties and frictions and allows more autonomous purchasing decisions. As a result, we are able to convert buyer traffic coming from various channels in a highly effective and efficient manner. In addition, by providing our buyers with a highly satisfactory experience, they continuously return to our platform and drive referrals. The more buyers come to our platform, the more opportunities we can create for talent on our marketplace, which in turn drives more talent and better talent to our marketplace, and enables our buyers to have access to a broader and higher quality talent pool. This strong flywheel of our two-sided marketplace establishes a key competitive moat for our business.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50</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Our brand awareness and the virality of our solution has enabled us to acquire the majority of our new buyers through organic channels. That is complemented by highly effective performance marketing and brand investments across a variety of channels. We aim to acquire new buyers through the most efficient channels with the highest return on investment. Once they join, our goal is to demonstrate the value of our platform to our users in order to continuously increase each user’s lifetime value. We actively work to expand our wallet share by encouraging cross category purchasing, suggesting services appropriate for the respective business lifecycle and constantly improving how we match our buyer’s needs with our seller’s offerings.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Intellectual property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design, test and update our website and apps regularly, and we have developed our proprietary solutions in-house. We have developed our infrastructure to be highly agile and scalable, allowing us to efficiently expand our platform and enter new market segments, without compromising quality. Our continued success depends upon our ability to protect our core technology and intellectual property. We rely on a combination of confidentiality clauses, contractual commitments, trade secret protections, copyrights, trademarks and other legal rights to protect our intellectual property and know-how. We enter into confidentiality and proprietary rights agreements with our employees, consultants and business partners, and we control access to and distribution of our proprietary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Fiverr brand is central to our business strategy, and we believe that maintaining, protecting and enhancing the Fiverr brand is important to expanding our business. We hold numerous registered trademarks in the United States and in foreign jurisdictions, including the European Union, the United Kingdom, Australia, Brazil, Canada and Israel, that we consider material to the marketing of our products, including the trademarks Fiverr and Gig.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in-house know-how is an important element of our intellectual property. The development and management of our platform requires sophisticated coordination among many specialized employees. We believe that duplication of this coordination by competitors or individuals seeking to copy our platform offerings would be difficult. The risk of a competitor effectively replicating the functionality of our platform is further mitigated by the fact that our service offerings are cloud-based such that most of the core technology operating on our systems is never exposed to a user or to our competitors. To protect our technology, we implement multiple layers of security. Access to our platform, other than to obtain basic information, requires system usernames and passwords. We also add additional layers of security such as IP address filtering.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Despite our efforts to protect our proprietary rights, unauthorized parties may attempt to copy or obtain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Competition</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market for freelancers and the buyers who engage them is highly competitive, rapidly evolving, fragmented and subject to changing technology, shifting needs and frequent introductions of new products and services. We compete with a number of online and offline platforms and services to attract and retain users although we believe that none of our competitors operate an e-commerce business model at a similar scale as our platform. Our main competitors fall into the following categories: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2" w:name="z50e83545267046c0a68e03bd4771ac69"/>
      <w:bookmarkStart w:id="223" w:name="z50e83545267046c0a68e03bd4771ac69"/>
      <w:bookmarkEnd w:id="223"/>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pPr>
            <w:r>
              <w:rPr/>
              <w:t>traditional contingent workforce and staffing service providers and other outsourcing providers;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4" w:name="zd32a11c4288446c0ae97dc326db7dbe0"/>
      <w:bookmarkStart w:id="225" w:name="zd32a11c4288446c0ae97dc326db7dbe0"/>
      <w:bookmarkEnd w:id="225"/>
    </w:p>
    <w:tbl>
      <w:tblPr>
        <w:tblW w:w="6918" w:type="dxa"/>
        <w:jc w:val="left"/>
        <w:tblInd w:w="0" w:type="dxa"/>
        <w:tblLayout w:type="fixed"/>
        <w:tblCellMar>
          <w:top w:w="0" w:type="dxa"/>
          <w:left w:w="0" w:type="dxa"/>
          <w:bottom w:w="0" w:type="dxa"/>
          <w:right w:w="0" w:type="dxa"/>
        </w:tblCellMar>
      </w:tblPr>
      <w:tblGrid>
        <w:gridCol w:w="38"/>
        <w:gridCol w:w="110"/>
        <w:gridCol w:w="6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0"/>
              <w:jc w:val="left"/>
              <w:rPr/>
            </w:pPr>
            <w:r>
              <w:rPr/>
              <w:t>online freelancer platforms that serve a diverse range of skill categories;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6" w:name="zef8446c277b4454da22a0d32eb95042d"/>
      <w:bookmarkStart w:id="227" w:name="zef8446c277b4454da22a0d32eb95042d"/>
      <w:bookmarkEnd w:id="2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other online and offline providers of products and services that allow freelancers to find work or to advertise their services, including personal and professional social networks, employment marketplaces, recruiting websites, job boards, classified ads and other traditional means of finding work;</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8" w:name="z13cadb9163424112b4019406967ba28b"/>
      <w:bookmarkStart w:id="229" w:name="z13cadb9163424112b4019406967ba28b"/>
      <w:bookmarkEnd w:id="2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software and business services companies focused on talent acquisition, management, invoicing, or staffing management products and services;</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0" w:name="zc6747cd135634d57825c8bca6fb63131"/>
      <w:bookmarkStart w:id="231" w:name="zc6747cd135634d57825c8bca6fb63131"/>
      <w:bookmarkEnd w:id="2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businesses that provide specialized, professional services, including consulting, accounting, marketing and information technology services;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2" w:name="z5550397fd73e44f29fcf8b68a90779fc"/>
      <w:bookmarkStart w:id="233" w:name="z5550397fd73e44f29fcf8b68a90779fc"/>
      <w:bookmarkEnd w:id="233"/>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left"/>
              <w:rPr/>
            </w:pPr>
            <w:r>
              <w:rPr/>
              <w:t>software companies focused on providing technological solutions driven by artificial intelligence.</w:t>
            </w:r>
          </w:p>
        </w:tc>
      </w:tr>
    </w:tbl>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Seasonality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business is subject to seasonality in two aspects. First, the activities on our marketplace fluctuates with the holiday schedules across the world. We typically see businesses and freelancers engage with each other more during work days and work hours, and less active during holiday season. Second, we typically invest more marketing dollars in the first quarter compared to the rest of the year, in order to capture more buyers and their needs at the beginning of the year. This results in higher sales and marketing expenses as a percentage of revenue in the first quarter, which moderates for the rest of the year.</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Environmental, Social and Governance (ESG) Practices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Fiverr was built with a defined purpose from day one to change how the world works together. We believe that our success can only be built alongside the success of our stakeholders, including our community, employees and shareholders. We are committed to build a long-term sustainable business that aligns our mission and business strategy with positive impacts to people, communities and our planet.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Fiverr’s ESG approach and plan falls under the purview of our board. Oversight of the Company’s risks, strategies, policies, programs and practices related to ESG matters is conducted by our nominating, environmental, social and governance committee, and our EVP and General Counsel and EVP of Strategic Finance lead the day-to-day management of ESG matters.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During 2023, we continued with our four core pillars that outline some of the specific ways we are making positive change in the world and the key issues that we believe are important to our business and stakeholders.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4" w:name="z22977e1854984801831315426ec9210a"/>
      <w:bookmarkStart w:id="235" w:name="z22977e1854984801831315426ec9210a"/>
      <w:bookmarkEnd w:id="2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Creating fair economic and social opportunities: fostering a level playing field and providing economic and business opportunities for talent across the world;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6" w:name="zad6c557e5b5042ceb2c43a62738a3d50"/>
      <w:bookmarkStart w:id="237" w:name="zad6c557e5b5042ceb2c43a62738a3d50"/>
      <w:bookmarkEnd w:id="237"/>
    </w:p>
    <w:tbl>
      <w:tblPr>
        <w:tblW w:w="9618" w:type="dxa"/>
        <w:jc w:val="left"/>
        <w:tblInd w:w="0" w:type="dxa"/>
        <w:tblLayout w:type="fixed"/>
        <w:tblCellMar>
          <w:top w:w="0" w:type="dxa"/>
          <w:left w:w="0" w:type="dxa"/>
          <w:bottom w:w="0" w:type="dxa"/>
          <w:right w:w="0" w:type="dxa"/>
        </w:tblCellMar>
      </w:tblPr>
      <w:tblGrid>
        <w:gridCol w:w="38"/>
        <w:gridCol w:w="110"/>
        <w:gridCol w:w="94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0"/>
              <w:jc w:val="left"/>
              <w:rPr/>
            </w:pPr>
            <w:r>
              <w:rPr/>
              <w:t>Marketplace integrity and ethics: holding high standards for quality and integrity in our marketplace;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8" w:name="z554f46454401406f9f867ebdb40e3350"/>
      <w:bookmarkStart w:id="239" w:name="z554f46454401406f9f867ebdb40e3350"/>
      <w:bookmarkEnd w:id="239"/>
    </w:p>
    <w:tbl>
      <w:tblPr>
        <w:tblW w:w="9123" w:type="dxa"/>
        <w:jc w:val="left"/>
        <w:tblInd w:w="0" w:type="dxa"/>
        <w:tblLayout w:type="fixed"/>
        <w:tblCellMar>
          <w:top w:w="0" w:type="dxa"/>
          <w:left w:w="0" w:type="dxa"/>
          <w:bottom w:w="0" w:type="dxa"/>
          <w:right w:w="0" w:type="dxa"/>
        </w:tblCellMar>
      </w:tblPr>
      <w:tblGrid>
        <w:gridCol w:w="38"/>
        <w:gridCol w:w="110"/>
        <w:gridCol w:w="8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0"/>
              <w:jc w:val="left"/>
              <w:rPr/>
            </w:pPr>
            <w:r>
              <w:rPr/>
              <w:t>Empowering our people: building a diverse and inclusive workforce and company culture;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0" w:name="z64bc1a967c2045d09496e3b723a5ad70"/>
      <w:bookmarkStart w:id="241" w:name="z64bc1a967c2045d09496e3b723a5ad70"/>
      <w:bookmarkEnd w:id="2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Climate change: reducing the carbon footprint by enabling remote work and driving responsible resource use.</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2022 ESG report details the progress we have achieved and our initiatives under each of the pillars above. Going forward we intend to continue enhancing our ESG program and developing ESG-related Key Performance Indicators (KPIs) and metrics for our reporting and to track our progress.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For more information on our ESG-related activities, please visit our website at investors.fiverr.com/esg. Neither the ESG Report nor the contents of our website are incorporated into this Annual Report. We expect to continue to evolve our ESG strategy in the future as our ESG program matures.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Government legislation and regulation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Actions of our users</w:t>
      </w:r>
    </w:p>
    <w:p>
      <w:pPr>
        <w:pStyle w:val="TextBody"/>
        <w:bidi w:val="0"/>
        <w:spacing w:lineRule="auto" w:line="300" w:before="0" w:after="0"/>
        <w:jc w:val="left"/>
        <w:rPr/>
      </w:pPr>
      <w:r>
        <w:rPr/>
        <w:t> </w:t>
      </w:r>
    </w:p>
    <w:p>
      <w:pPr>
        <w:pStyle w:val="TextBody"/>
        <w:bidi w:val="0"/>
        <w:spacing w:before="0" w:after="0"/>
        <w:ind w:left="0" w:right="0" w:firstLine="720"/>
        <w:jc w:val="left"/>
        <w:rPr>
          <w:sz w:val="20"/>
        </w:rPr>
      </w:pPr>
      <w:r>
        <w:rPr>
          <w:sz w:val="20"/>
        </w:rPr>
        <w:t xml:space="preserve">In many jurisdictions, including the United States and countries in Europe, laws relating to the liability of providers of online services for activities of their users and other third parties are currently being tested by a number of claims, including actions based on defamation, breach of data protection and privacy rights and other torts, unfair competition, copyright and trademark infringement and other theories based on the nature and content of the materials searched, the ads posted, or the content uploaded by users. Any court ruling or other governmental action that imposes liability on providers of online services for the activities of their users and other third parties could harm our business. In addition, rising concern about the use of the Internet for illegal conduct, such as the unauthorized dissemination of national security information, money laundering or supporting terrorist activities may in the future produce legislation or other governmental action that could require changes to our products or services, restrict or impose additional costs upon the conduct of our business or cause users to abandon material aspects of our service. </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52</w:t>
      </w:r>
    </w:p>
    <w:p>
      <w:pPr>
        <w:pStyle w:val="HorizontalLine"/>
        <w:bidi w:val="0"/>
        <w:spacing w:before="200" w:after="200"/>
        <w:jc w:val="left"/>
        <w:rPr/>
      </w:pPr>
      <w:r>
        <w:rPr/>
      </w:r>
    </w:p>
    <w:p>
      <w:pPr>
        <w:pStyle w:val="TextBody"/>
        <w:bidi w:val="0"/>
        <w:spacing w:lineRule="auto" w:line="300" w:before="0" w:after="0"/>
        <w:jc w:val="left"/>
        <w:rPr>
          <w:b/>
          <w:i/>
          <w:sz w:val="20"/>
        </w:rPr>
      </w:pPr>
      <w:r>
        <w:rPr>
          <w:b/>
          <w:i/>
          <w:sz w:val="20"/>
        </w:rPr>
        <w:t>Data protection and cybersecurity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hold certain personal data of our users, including their name, username, email address, IP address, device identifiers, address, telephone number, photo, transactional data, consumption habits (such as purchase history), taxpayer information and forms, profession and education, location, authentication information (including copy of identification documents), social media account log in details and additional information regarding the use of Fiverr’s marketplace (such as published portfolio, Gig information, purchases, ratings and additional information the user decides to upload and share with us or other users of our marketplace), and may hold certain personal data of the visitors to our users’ websites. In addition, we hold certain personal data of our employees, job applicants and contractors. We operate in accordance with the terms of our privacy policies, which describe our practices concerning the collection, use, transmission and disclosure of personal data. As a “database owner” pursuant to the Israeli Privacy Law, we are subject to certain obligations and restrictions, such as the requirement to properly notify the data subjects regarding the nature of the collection and use of their personal data prior to their collection, the requirement to obtain valid informed consents from the data subjects prior to using their personal data, conditions with respect to transfer of personal data outside Israeli borders, conditions and restrictions regarding the use of any personal data for direct mailing, obligations to meet certain data subject rights (such as access, rectification and deletion rights), registering databases containing personal data with Israeli Privacy Protection Authority, as well as data security obligations. In this respect, the Israeli Privacy Protection Regulations (Data Security) 2017, or the Data Security Regulations, imposes obligations with respect to the manner personal data is processed, maintained, transferred, disclosed, accessed and secured. The Israeli Privacy Protection Authority may initiate administrative inspection proceedings, from time to time, without any suspicion of any particular breach of the Israeli Privacy Law, as it has done in the past with respect to dozens of Israeli companies in various business sectors. In addition, to the extent that the Israeli Privacy Protection Authority initiates any administrative supervision procedure that reveals irregularities with respect to our compliance with the Israeli Privacy Law, we may need to take certain remedial actions to rectify such irregularities, which may increase our costs. In addition we may be exposed to administrative fines, civil claims (including class actions) and in certain cases criminal liability.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Numerous U.S. and foreign laws and regulations govern how we collect, use, disclose and otherwise process personal information, and certain of these laws and regulations have extraterritorial effect. Where the local data protection and privacy laws of a jurisdiction apply, we may be required to register our operations in that jurisdiction or make changes to our business so that personal information is only collected and processed in accordance with applicable local law. We may require additional legal review and resources to ensure compliance with any applicable privacy or data protections laws and regulations. In addition, in many jurisdictions there is new legislation that may affect our business and require additional legal review. Compliance with these laws is constantly evolving, resource intensive and time consuming, and companies that do not comply with these laws may face significant liabilities.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United States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number of new U.S. state data privacy laws as well as legislative proposals pending before the U.S. Congress and various state legislative bodies concerning data protection could affect us. For example, the California Consumer Privacy Act, or the CCPA, as amended by the California Privacy Rights Act, or the CPRA, provides new data privacy rights for consumers and new operational requirements for companies. In addition, over a dozen other states have passed or are considering similar legislation, which has created and will continue to create additional compliance obligations and privacy rights. If similar laws continue to be passed in other states or at the federal level, such laws may have potentially conflicting requirements that would make compliance challenging and costly.</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Europe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subject to the GDPR. We are a “Controller” with respect to the personal data of our users that we collect and are therefore subject to a number of key legal obligations under the GDPR. These include the necessity to have lawful basis for collecting, using, and processing personal data, ​​requirements in light of the transparency principle to tell our users how we may use their personal data, increased controls on profiling users, increased rights for users to access, control and delete their personal data and mandatory data breach notification requirements. Case law and regulatory guidance has supplemented these requirements in numerous areas, particularly around international data transfers, imposing additional compliance costs and enforcement risk. In addition, there are significantly increased administrative fines of the greater of €20 million / £17.5 million and 4% of global turnover (as well as the right to compensation for financial or non-financial damages claimed by any individuals under Article 82 of the GDPR). Since we are under the supervision of relevant data protection authorities in both the EEA and the UK, we may be fined under both the EU GDPR and UK GDPR for the same breach. Compliance with these laws is constantly evolving, resource intensive and time consuming, and companies that do not comply with these laws may face significant liabilities.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In the EU and UK, under national laws derived from the European ePrivacy Directive (Directive 2002/58/EC as amended by Directive 2009/136/EC), companies must, among other things, obtain consent to store information or access information already stored, on a user’s terminal equipment (e.g., computer or mobile device). These requirements predominantly regulate the use by companies of cookies and comparable technologies. Prior to providing such consent, users must receive clear and comprehensive information, both in accordance with the more stringent requirements under the GDPR. Certain exemptions to these requirements on which we rely are available for technical storage or access for the sole purpose of carrying out the transmission of a communication over an electronic communications network or as strictly necessary to provide a service explicitly requested by the user.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recent years, U.S. and European lawmakers and regulators have expressed concern over the use of third-party cookies and similar technologies for online behavioral advertising, and laws in this area are also under reform. In the European Union and United Kingdom, informed consent is required for the placement of certain cookies on a user’s device and for direct electronic marketing, and the GDPR also imposes additional conditions in order to satisfy such consent, such as a prohibition on pre-checked consents and on bundled consents thereby requiring users to affirmatively consent for a given purpose through separate tick boxes. Compliance with these laws is constantly evolving, resource intensive and time consuming, and companies that do not comply with these laws may face significant liabilities.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On November 1, 2022, the Digital Markets Act, or the DMA, entered into force and on November 16, 2022, the Digital Services Act, or the DSA, followed. For the DSA, most provisions became applicable on February 17, 2024. The DSA and the DMA focus on creating a safer digital space, protecting fundamental rights of all users of digital services, and establishing a level playing field for businesses and consumers with regards to online platforms. The majority of the substantive provisions of the DSA govern, among other things, our potential liability for illegal services or content on our platform, obligations around traceability of business users, and require enhanced transparency measures, including in relation to any recommendation systems (including the main parameters used by such systems and any available options for recipients to modify or influence them). As further guidance on the DSA is issued, it may require us to further modify our practices and policies and we could incur substantial costs as a result. In addition, failure to comply with the DSA can result in fines of up to 6% of total annual worldwide turnover and recipients of services have the right to seek compensation from providers in respect of damage or loss suffered due to infringement by the provider to comply with the DSA. Similarly, in the United Kingdom, the Online Safety Act 2023 establishes an extensive regulatory framework for user-to-user services and imposes obligations to protect users from illegal content which, if applicable, may increase compliance costs and may otherwise adversely affect our business, operations and financial condition and failure to comply with the UK regime can result in fines of up to 10% of total annual worldwide turnover or £18 million (whichever is greater).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On December 16, 2020, the European Union published a new cybersecurity strategy which aims at adapting online and offline security requirements in response to growing interconnectedness and digitalization. In December 2022, the Directive (EU) 2022/2555 of the European Parliament and of the Council of December 14, 2022 on measures for a high common level of cybersecurity across the Union, amending Regulation (EU) No 910/2014 and Directive (EU) 2018/1972, and repealing Directive (EU) 2016/1148 (NIS 2 Directive) was published in the official journal of the European Union. As EU Member States still need to adopt the NIS 2 Directive into national law by October 17, 2024, it is difficult to assess the impact on our business or operations, but it may require us to modify our cybersecurity practices and policies and we could incur substantial costs as a result.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2" w:name="z085a9a7bf77849fb90c5e987676a0e8d"/>
      <w:bookmarkStart w:id="243" w:name="C.4"/>
      <w:bookmarkStart w:id="244" w:name="z085a9a7bf77849fb90c5e987676a0e8d"/>
      <w:bookmarkStart w:id="245" w:name="C.4"/>
      <w:bookmarkEnd w:id="244"/>
      <w:bookmarkEnd w:id="245"/>
    </w:p>
    <w:tbl>
      <w:tblPr>
        <w:tblW w:w="2860" w:type="dxa"/>
        <w:jc w:val="left"/>
        <w:tblInd w:w="0" w:type="dxa"/>
        <w:tblLayout w:type="fixed"/>
        <w:tblCellMar>
          <w:top w:w="0" w:type="dxa"/>
          <w:left w:w="0" w:type="dxa"/>
          <w:bottom w:w="0" w:type="dxa"/>
          <w:right w:w="0" w:type="dxa"/>
        </w:tblCellMar>
      </w:tblPr>
      <w:tblGrid>
        <w:gridCol w:w="275"/>
        <w:gridCol w:w="2585"/>
      </w:tblGrid>
      <w:tr>
        <w:trPr/>
        <w:tc>
          <w:tcPr>
            <w:tcW w:w="275" w:type="dxa"/>
            <w:tcBorders/>
            <w:vAlign w:val="center"/>
          </w:tcPr>
          <w:p>
            <w:pPr>
              <w:pStyle w:val="TableContents"/>
              <w:bidi w:val="0"/>
              <w:spacing w:lineRule="auto" w:line="300" w:before="0" w:after="0"/>
              <w:jc w:val="left"/>
              <w:rPr>
                <w:b/>
              </w:rPr>
            </w:pPr>
            <w:r>
              <w:rPr>
                <w:b/>
              </w:rPr>
              <w:t>C.</w:t>
            </w:r>
          </w:p>
        </w:tc>
        <w:tc>
          <w:tcPr>
            <w:tcW w:w="2585" w:type="dxa"/>
            <w:tcBorders/>
            <w:vAlign w:val="center"/>
          </w:tcPr>
          <w:p>
            <w:pPr>
              <w:pStyle w:val="TableContents"/>
              <w:bidi w:val="0"/>
              <w:spacing w:lineRule="auto" w:line="300" w:before="0" w:after="0"/>
              <w:jc w:val="left"/>
              <w:rPr>
                <w:b/>
              </w:rPr>
            </w:pPr>
            <w:r>
              <w:rPr>
                <w:b/>
              </w:rPr>
              <w:t>Organizational Structure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legal name of our company is Fiverr International Ltd. and we are organized under the laws of the State of Israel. We have seven wholly-owned subsidiaries: Fiverr Inc., ClearVoice, Inc., Working Not Working, Inc., and CreativeLive Inc. each of which incorporated under the laws of the State of Delaware, Sharon Lee Thony Consulting, LLC, incorporated under the laws of the State of New York, Fiverr Germany GmbH, incorporated under the laws of the Federal Republic of Germany and Fiverr Limited, incorporated under the laws of the Republic of Cyprus.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6" w:name="z5711d5497da74055b96e08214bf1cc9d"/>
      <w:bookmarkStart w:id="247" w:name="z5711d5497da74055b96e08214bf1cc9d"/>
      <w:bookmarkEnd w:id="247"/>
    </w:p>
    <w:tbl>
      <w:tblPr>
        <w:tblW w:w="3535" w:type="dxa"/>
        <w:jc w:val="left"/>
        <w:tblInd w:w="0" w:type="dxa"/>
        <w:tblLayout w:type="fixed"/>
        <w:tblCellMar>
          <w:top w:w="0" w:type="dxa"/>
          <w:left w:w="0" w:type="dxa"/>
          <w:bottom w:w="0" w:type="dxa"/>
          <w:right w:w="0" w:type="dxa"/>
        </w:tblCellMar>
      </w:tblPr>
      <w:tblGrid>
        <w:gridCol w:w="275"/>
        <w:gridCol w:w="3260"/>
      </w:tblGrid>
      <w:tr>
        <w:trPr/>
        <w:tc>
          <w:tcPr>
            <w:tcW w:w="275" w:type="dxa"/>
            <w:tcBorders/>
            <w:vAlign w:val="center"/>
          </w:tcPr>
          <w:p>
            <w:pPr>
              <w:pStyle w:val="TableContents"/>
              <w:bidi w:val="0"/>
              <w:spacing w:lineRule="auto" w:line="300" w:before="0" w:after="0"/>
              <w:jc w:val="left"/>
              <w:rPr>
                <w:b/>
              </w:rPr>
            </w:pPr>
            <w:bookmarkStart w:id="248" w:name="D.4"/>
            <w:bookmarkEnd w:id="248"/>
            <w:r>
              <w:rPr>
                <w:b/>
              </w:rPr>
              <w:t>D.</w:t>
            </w:r>
          </w:p>
        </w:tc>
        <w:tc>
          <w:tcPr>
            <w:tcW w:w="3260" w:type="dxa"/>
            <w:tcBorders/>
            <w:vAlign w:val="center"/>
          </w:tcPr>
          <w:p>
            <w:pPr>
              <w:pStyle w:val="TableContents"/>
              <w:bidi w:val="0"/>
              <w:spacing w:lineRule="auto" w:line="300" w:before="0" w:after="0"/>
              <w:jc w:val="left"/>
              <w:rPr>
                <w:b/>
              </w:rPr>
            </w:pPr>
            <w:r>
              <w:rPr>
                <w:b/>
              </w:rPr>
              <w:t>Property, Plant and Equipment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principal facilities are located in Tel Aviv, Israel and consist of approximately 4,500 square meters (approximately 48,438 square feet) of leased office space. These facilities currently accommodate our principal executive offices, research and development, marketing, design, business development, finance, information technology, user support and other administrative activities. The lease for these facilities expires in December 2026.</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sz w:val="20"/>
        </w:rPr>
        <w:t>We also lease offices in New York City and Orlando in the United States. We believe that our facilities are adequate to meet our needs for the immediate future, and that, should it be needed, suitable additional space will be available to accommodate any expansion of our operations.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54</w:t>
      </w:r>
    </w:p>
    <w:p>
      <w:pPr>
        <w:pStyle w:val="HorizontalLine"/>
        <w:bidi w:val="0"/>
        <w:spacing w:before="200" w:after="200"/>
        <w:jc w:val="left"/>
        <w:rPr/>
      </w:pPr>
      <w:r>
        <w:rPr/>
      </w:r>
    </w:p>
    <w:p>
      <w:pPr>
        <w:pStyle w:val="TextBody"/>
        <w:bidi w:val="0"/>
        <w:spacing w:lineRule="auto" w:line="300" w:before="0" w:after="0"/>
        <w:ind w:left="0" w:right="0" w:firstLine="720"/>
        <w:jc w:val="left"/>
        <w:rPr/>
      </w:pPr>
      <w:r>
        <w:rPr/>
      </w:r>
    </w:p>
    <w:p>
      <w:pPr>
        <w:pStyle w:val="TextBody"/>
        <w:bidi w:val="0"/>
        <w:spacing w:lineRule="auto" w:line="300" w:before="0" w:after="0"/>
        <w:jc w:val="left"/>
        <w:rPr>
          <w:b/>
          <w:sz w:val="20"/>
        </w:rPr>
      </w:pPr>
      <w:r>
        <w:rPr>
          <w:b/>
          <w:sz w:val="20"/>
        </w:rPr>
        <w:t>Item 4A.</w:t>
      </w:r>
      <w:bookmarkStart w:id="249" w:name="Item4A."/>
      <w:bookmarkEnd w:id="249"/>
      <w:r>
        <w:rPr>
          <w:b/>
          <w:sz w:val="20"/>
        </w:rPr>
        <w:t xml:space="preserve"> Unresolved Staff Comments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i/>
          <w:sz w:val="20"/>
        </w:rPr>
      </w:pPr>
      <w:r>
        <w:rPr>
          <w:i/>
          <w:sz w:val="20"/>
        </w:rPr>
        <w:t>You should read the following discussion together with the consolidated financial statements and related notes included elsewhere in this Annual Report. 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Our actual results may differ materially from those contained in or implied by any forward-looking statements.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Overview</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mission is to change how the world works together. We started with the simple idea that people should be able to buy and sell digital services in the same fashion as physical goods on an e-commerce platform. On that basis, we set out to design a digital services marketplace that is built with a comprehensive SKU-like services catalog and an efficient search, find and order process that mirrors a typical e-commerce transaction. We call this the Service-as-a-Product, or the SaaP model. Our approach fundamentally transforms the traditional freelancer staffing model into a customer centric, product led marketplace model with scale and efficiency.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believe our model reduces friction and uncertainties for both buyers and sellers. At the foundation of our platform lies an expansive catalog with over 700 categories of productized service listings, which we coined as Gigs. Each Gig has a clearly defined scope, duration and price, along with buyer generated reviews. Using either our search or navigation tools, buyers can easily compare and find talent and their service listings, and in turn purchase and fulfill their digital service needs, ranging from simple services such as logo design and blog post writing, to complex services such as video creation, website development and social media marketing. In the year ended December 31, 2023, we had 4.1 million active buyers on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were founded in 2010 by entrepreneurs who have extensive experience working with freelancers and who have witnessed firsthand how challenging the process can be. Our platform has simplified and streamlined this process for both buyers and sellers. As a result, we have experienced significant growth and reached a meaningful scale. Our GMV for the years ended December 31, 2023, 2022 and 2021 was $1,134.7 million, $1,118.3 million, and $1,018.7 million, respectively.</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Our business model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operate a marketplace model where we derive the majority of our revenue from transaction fees and service fees that are based on the total value of transactions ordered through our platform. Additionally, we drive certain revenues from value-added services provided to our buyer and seller community. Our revenue growth has been driven by a combination of active buyers, spend per buyer and take rate growth. For the years ended December 31, 2023, 2022 and 2021, our revenue was $361.4 million, $337.4 million, and $297.7 million, respectively, most of which was driven by repeat buyers whose collective spend on our platform continues to increase. These favorable dynamics provide us with revenue visibility and predictability. As repeat buyers keep using our platform, placing additional orders and ordering higher value and cross category services, we benefit from growing buyer lifetime value.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take rate, or revenue as a percentage of GMV, was 31.8%, 30.2%, and 29.2% for the years ended December 31, 2023, 2022 and 2021, respectively. We believe we are able to command our take rate because of the value we provide to our buyers and sellers in an otherwise fragmented, unstandardized and high-friction industry. Our take rate is sustainable and has grown moderately over time as we provide more value to buyers and sellers through products and offerings such as Promoted Gigs, Seller Plus, and other value-added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revenue is diversified and generated from a broad mix of digital services. Our platform includes over 700 categories across ten verticals, including Graphics &amp; Design, Digital Marketing, Writing &amp; Translation, Video &amp; Animation, Music &amp; Audio, Programming &amp; Tech, Business, Data, Lifestyle, and Photography. For the years ended December 31, 2023, 2022 and 2021, no single category accounted for more than 15% of our core platform revenue. Category expansion continues to be a key strategy for our business.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55</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Geographically, the substantial majority of our revenue is generated from buyers in English speaking countries. As we expand our platform to include additional languages, we expect to deepen our penetration into Western Europe, Asia Pacific and Latin America, and the geographic mix of our revenue could therefore change over time.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Generally, we do not hire freelancers directly or provide digital services to our buyers as a principal. Our business model can rapidly scale, and as it grows we benefit from a growing network effect. More buyers attract more sellers onto our platform, which, in turn, leads to more selection and better value for money, driving more engagement and spend by our buyers. Our revenue is well diversified across our buyers, with no buyer contributing more than 1% of core platform revenue in the years ended December 31, 2023, 2022 or 2021.</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drive a majority of our buyer acquisition through organic channels, supplemented by efficient performance marketing investments. Our organic buyer growth results from the embedded network effect of our marketplace model and our continued growth in our brand awareness. We continue to diversify and strengthen our performance marketing capabilities and invest in data science technologies to acquire more buyers as well as buyers with higher lifetime value. Since inception, we have not made significant investments in marketing for seller acquisition.</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Large and strong buyer base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active buyer base has grown significantly over time. As of December 31, 2023, the number of active buyers on our platform has reached 4.1 million. The key drivers of our active buyer base growth are continued buyer engagement and our buyer acquisition strategy. We are focused on increasing this strong base of active buyers, which we continue to monetize.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experience significant repeat business because buyers return to our platform as we offer a variety of freelance digital services that address different businesses’ needs. For example, a buyer can purchase design content for a brochure and later return to our platform for market research, an entirely different service category. At the same time, this buyer may recommend our platform to a colleague in another department who may use our platform for video editing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Repeat buyers generally increase spend on our platform over time. For the year ended December 31, 2023, repeat buyers contributed 66% of our revenue on our core platform, up from 63% in the year ended December 31, 2022. We believe the repeat purchase activity from existing buyers reflects the underlying strength of our business and provides us with revenue visibility and predictability.</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Consistent cohort behavior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business has historically benefited from strong cohort revenue consistency. To track our growth and the underlying dynamics of our business, we closely monitor and analyze the behavior of our annual buyer cohorts. We define an annual buyer cohort based on the year when the buyer’s first purchase on our platform was made. Historically, we have observed consistency across our annual buyer cohorts. As shown in the figure below, the biggest fluctuation in spend of each cohort happens in the first two years and then starts to stabilize and contribute to a consistent stream of revenue for future years. The consistent behavior of our cohorts is driven first by repeat spending by our buyers as well as by the overall size of our buyer base, which normalizes the fluctuation of individual buyer behavior. We experienced elevated spending levels across our cohorts in 2020 and 2021, as COVID-19 led to more usage of remote and freelancer workforce. The cohort behavior has since been largely normalized.</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center"/>
        <w:rPr>
          <w:b/>
          <w:sz w:val="20"/>
        </w:rPr>
      </w:pPr>
      <w:r>
        <w:rPr>
          <w:b/>
          <w:sz w:val="20"/>
        </w:rPr>
        <w:t>Core platform revenue composition by annual cohort 2010-2023</w:t>
      </w:r>
    </w:p>
    <w:p>
      <w:pPr>
        <w:pStyle w:val="TextBody"/>
        <w:bidi w:val="0"/>
        <w:spacing w:lineRule="auto" w:line="300" w:before="0" w:after="0"/>
        <w:jc w:val="center"/>
        <w:rPr/>
      </w:pPr>
      <w:r>
        <w:rPr/>
        <w:drawing>
          <wp:inline distT="0" distB="0" distL="0" distR="0">
            <wp:extent cx="6038850" cy="3067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38850" cy="3067050"/>
                    </a:xfrm>
                    <a:prstGeom prst="rect">
                      <a:avLst/>
                    </a:prstGeom>
                  </pic:spPr>
                </pic:pic>
              </a:graphicData>
            </a:graphic>
          </wp:inline>
        </w:drawing>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i/>
          <w:sz w:val="20"/>
        </w:rPr>
      </w:pPr>
      <w:r>
        <w:rPr>
          <w:i/>
          <w:sz w:val="20"/>
        </w:rPr>
        <w:t>Buyer acquisition strategy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continue to attract buyers through a variety of channels. The majority of our new buyers in both 2023 and 2022 came from organic and direct sources, meaning buyers who reach our platform via non-paid search results, referrals by existing users, word-of-mouth, direct visits to our website by typing our URL into their browser, or our mobile app. We supplement these organic and direct sources of growth by investing in performance marketing programs. We view our ability to efficiently acquire buyers at scale as a differentiated competitive advantage and continuously seek to diversify our user acquisition investments through a variety of channels in a disciplined manner.</w:t>
      </w:r>
    </w:p>
    <w:p>
      <w:pPr>
        <w:pStyle w:val="TextBody"/>
        <w:bidi w:val="0"/>
        <w:spacing w:lineRule="auto" w:line="300" w:before="0" w:after="0"/>
        <w:jc w:val="left"/>
        <w:rPr/>
      </w:pPr>
      <w:r>
        <w:rPr/>
        <w:t> </w:t>
      </w:r>
    </w:p>
    <w:p>
      <w:pPr>
        <w:pStyle w:val="TextBody"/>
        <w:bidi w:val="0"/>
        <w:spacing w:lineRule="auto" w:line="240" w:before="0" w:after="0"/>
        <w:ind w:left="0" w:right="0" w:firstLine="720"/>
        <w:jc w:val="left"/>
        <w:rPr>
          <w:sz w:val="20"/>
        </w:rPr>
      </w:pPr>
      <w:r>
        <w:rPr>
          <w:sz w:val="20"/>
        </w:rPr>
        <w:t>We measure the efficiency of our buyer acquisition strategy by Time to Return On Investment, or tROI, which represents the number of months required for us to recover performance marketing investments during a particular period of time from the revenue generated by the new buyers acquired during that period1. We aim to achieve quarterly tROI of one year or less. Historically, over the past eight quarters ending December 31, 2023, we have been able to consistently achieve tROI of less than six months.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second measure for our paid marketing efficiency is the cumulative revenue to performance marketing investment ratio. As depicted in the chart below, our return on performance marketing investments continues to improve as the cohort ages and buyers continue to spend on our platform. For example, as of December 31, 2023, revenue from the Q4’23 cohort had already amounted to 0.9x of our performance marketing investments during that quarter and the cumulative revenue from the Q4’20 cohort has reached 3.6x of our performance marketing investments during that quarter. We aim to continue acquiring buyers through highly efficient digital marketing channels as we continue to increase the scale of our performance marketing investments and target buyers with higher lifetime value.</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Cumulative revenue to performance marketing investment ratios by cohort</w:t>
      </w:r>
    </w:p>
    <w:p>
      <w:pPr>
        <w:pStyle w:val="TextBody"/>
        <w:bidi w:val="0"/>
        <w:spacing w:lineRule="auto" w:line="300" w:before="0" w:after="0"/>
        <w:jc w:val="left"/>
        <w:rPr/>
      </w:pPr>
      <w:r>
        <w:rPr/>
        <w:t> </w:t>
      </w:r>
    </w:p>
    <w:p>
      <w:pPr>
        <w:pStyle w:val="TextBody"/>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6038850" cy="2733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038850" cy="273367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__________________</w:t>
      </w:r>
    </w:p>
    <w:p>
      <w:pPr>
        <w:pStyle w:val="TextBody"/>
        <w:bidi w:val="0"/>
        <w:spacing w:lineRule="auto" w:line="300" w:before="0" w:after="0"/>
        <w:jc w:val="left"/>
        <w:rPr/>
      </w:pPr>
      <w:r>
        <w:rPr/>
        <w:t> </w:t>
      </w:r>
    </w:p>
    <w:p>
      <w:pPr>
        <w:pStyle w:val="TextBody"/>
        <w:bidi w:val="0"/>
        <w:spacing w:lineRule="auto" w:line="240" w:before="0" w:after="0"/>
        <w:jc w:val="left"/>
        <w:rPr>
          <w:sz w:val="20"/>
        </w:rPr>
      </w:pPr>
      <w:r>
        <w:rPr>
          <w:sz w:val="20"/>
        </w:rPr>
        <w:t>1 Performance marketing investments in new buyer acquisition is determined by aggregating online advertising spend across various channels, including search engine optimization, search engine marketing, video and social media used for buyer acquisition. Our performance marketing investments exclude certain fixed costs, such as brand advertising and fixed labor costs. Our performance marketing investment differs from sales and marketing expenses presented in accordance with GAAP and should not be considered as an alternative to sales and marketing expenses. Our performance marketing investment has limitations as an analytical tool, including that it does not reflect certain expenditures necessary to the operation of our business, and should not be considered in isolation. Certain fixed costs are excluded from performance marketing investments and related tROI calculations because performance marketing investments represent our direct variable costs related to buyer acquisition and its corresponding revenue generation. tROI measures the efficiency of such variable marketing investments and is an indicator actively used by management to make day-to-day operational decisions.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bidi w:val="0"/>
        <w:spacing w:before="200" w:after="200"/>
        <w:jc w:val="left"/>
        <w:rPr/>
      </w:pPr>
      <w:r>
        <w:rPr/>
      </w:r>
    </w:p>
    <w:p>
      <w:pPr>
        <w:pStyle w:val="TextBody"/>
        <w:bidi w:val="0"/>
        <w:spacing w:lineRule="auto" w:line="300" w:before="0" w:after="0"/>
        <w:jc w:val="left"/>
        <w:rPr>
          <w:i/>
          <w:sz w:val="20"/>
        </w:rPr>
      </w:pPr>
      <w:r>
        <w:rPr>
          <w:i/>
          <w:sz w:val="20"/>
        </w:rPr>
        <w:t>Growth in spend per buyer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view the acquisition of a new buyer as a starting point for building a long-term relationship between the buyer and our marketplace. Once a buyer joins our platform, we aim to expand the relationship and increase engagement and spending activities from that buyer over time. Our focus on increasing the lifetime value of our buyers on our marketplace is reflected in three areas. First, we continue to build out our platform to include more categories, more complex Gigs, and higher quality sellers in order to provide a comprehensive solution for our buyers’ digital service needs. Second, our proprietary machine learning technology and expansive data sets allow us to personalize experiences for both buyers and sellers. For example, it enables us to anticipate buyers’ future needs based on their buying behavior and provide category and service recommendations. Third, we continue to go upmarket in our marketing strategies to acquire higher lifetime value buyers at the top of the funnel.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measure our buyer engagement using spend per buyer. Our spend per buyer as of December 31, 2023, was $278, up 6% from $262 as of December 31, 2022. For the year ended December 31, 2023, buyers who spent over $500 accounted for 64% of our core platform revenue, up from 63% for the year ended December 31, 2022.</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These spend per buyer growth trends demonstrate our success in moving upmarket by offering a broader set of digital services, increasing engagement and lifetime value of our buyers, and growing the number of higher value Gigs and higher quality sellers on our platform through targeted marketing efforts and a number of product initiatives such as Fiverr Pro, Fiverr’s Choice, Subscriptions and Milestones.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Key financial and operating metrics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We monitor the following key financial and operating metrics to evaluate the growth of our business, measure our performance, identify trends affecting our business, formulate business plans and make strategic decisions.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0" w:name="zaf174e3f5cb3476e8cdd78da2aa2b287"/>
      <w:bookmarkStart w:id="251" w:name="zaf174e3f5cb3476e8cdd78da2aa2b287"/>
      <w:bookmarkEnd w:id="2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i/>
              </w:rPr>
              <w:t>Active buyers</w:t>
            </w:r>
            <w:r>
              <w:rPr/>
              <w:t>” means buyers who have ordered a Gig or other services on Fiverr within the last 12-month period, irrespective of cancellations. An increase or decrease in the number of active buyers is a key indicator of our ability to attract and engage buyers.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2" w:name="z5973741ee8d84a40ae0eb55eec2d0358"/>
      <w:bookmarkStart w:id="253" w:name="z5973741ee8d84a40ae0eb55eec2d0358"/>
      <w:bookmarkEnd w:id="2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i/>
              </w:rPr>
              <w:t>Spend per buyer</w:t>
            </w:r>
            <w:r>
              <w:rPr/>
              <w:t>” is calculated by dividing our GMV within the last 12-month period by the number of active buyers as of such date. Spend per buyer is a key indicator of our buyers’ purchasing patterns and is impacted by an increase in our number of active buyers, buyers purchasing from more than one category, an increase in average price per purchase and our ability to acquire buyers with a higher lifetime value.</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following table sets forth our key performance indicators as of December 31, 2023 and 2022:</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54" w:name="zecf9c0a29f264c4ba20ff42f566ebed0"/>
      <w:bookmarkStart w:id="255" w:name="zecf9c0a29f264c4ba20ff42f566ebed0"/>
      <w:bookmarkEnd w:id="255"/>
    </w:p>
    <w:tbl>
      <w:tblPr>
        <w:tblW w:w="4881" w:type="dxa"/>
        <w:jc w:val="left"/>
        <w:tblInd w:w="0" w:type="dxa"/>
        <w:tblLayout w:type="fixed"/>
        <w:tblCellMar>
          <w:top w:w="0" w:type="dxa"/>
          <w:left w:w="0" w:type="dxa"/>
          <w:bottom w:w="0" w:type="dxa"/>
          <w:right w:w="0" w:type="dxa"/>
        </w:tblCellMar>
      </w:tblPr>
      <w:tblGrid>
        <w:gridCol w:w="2750"/>
        <w:gridCol w:w="60"/>
        <w:gridCol w:w="184"/>
        <w:gridCol w:w="736"/>
        <w:gridCol w:w="78"/>
        <w:gridCol w:w="78"/>
        <w:gridCol w:w="184"/>
        <w:gridCol w:w="736"/>
        <w:gridCol w:w="75"/>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lineRule="auto" w:line="300" w:before="0" w:after="0"/>
              <w:jc w:val="left"/>
              <w:rPr/>
            </w:pPr>
            <w:r>
              <w:rPr/>
              <w:t>Active buyers (in thousands)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lineRule="auto" w:line="300" w:before="0" w:after="0"/>
              <w:jc w:val="right"/>
              <w:rPr/>
            </w:pPr>
            <w:r>
              <w:rPr/>
              <w:t>4,077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lineRule="auto" w:line="300" w:before="0" w:after="0"/>
              <w:jc w:val="right"/>
              <w:rPr/>
            </w:pPr>
            <w:r>
              <w:rPr/>
              <w:t>4,275</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lineRule="auto" w:line="300" w:before="0" w:after="0"/>
              <w:jc w:val="left"/>
              <w:rPr/>
            </w:pPr>
            <w:r>
              <w:rPr/>
              <w:t>Spend per buyer</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lineRule="auto" w:line="300" w:before="0" w:after="0"/>
              <w:jc w:val="left"/>
              <w:rPr/>
            </w:pPr>
            <w:r>
              <w:rPr/>
              <w:t>$</w:t>
            </w:r>
          </w:p>
        </w:tc>
        <w:tc>
          <w:tcPr>
            <w:tcW w:w="736" w:type="dxa"/>
            <w:tcBorders/>
            <w:vAlign w:val="center"/>
          </w:tcPr>
          <w:p>
            <w:pPr>
              <w:pStyle w:val="TableContents"/>
              <w:bidi w:val="0"/>
              <w:spacing w:lineRule="auto" w:line="300" w:before="0" w:after="0"/>
              <w:jc w:val="right"/>
              <w:rPr/>
            </w:pPr>
            <w:r>
              <w:rPr/>
              <w:t>278</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lineRule="auto" w:line="300" w:before="0" w:after="0"/>
              <w:jc w:val="left"/>
              <w:rPr/>
            </w:pPr>
            <w:r>
              <w:rPr/>
              <w:t>$</w:t>
            </w:r>
          </w:p>
        </w:tc>
        <w:tc>
          <w:tcPr>
            <w:tcW w:w="736" w:type="dxa"/>
            <w:tcBorders/>
            <w:vAlign w:val="center"/>
          </w:tcPr>
          <w:p>
            <w:pPr>
              <w:pStyle w:val="TableContents"/>
              <w:bidi w:val="0"/>
              <w:spacing w:lineRule="auto" w:line="300" w:before="0" w:after="0"/>
              <w:jc w:val="right"/>
              <w:rPr/>
            </w:pPr>
            <w:r>
              <w:rPr/>
              <w:t>262</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bidi w:val="0"/>
        <w:spacing w:before="200" w:after="200"/>
        <w:jc w:val="left"/>
        <w:rPr/>
      </w:pPr>
      <w:r>
        <w:rPr/>
      </w:r>
    </w:p>
    <w:p>
      <w:pPr>
        <w:pStyle w:val="TextBody"/>
        <w:bidi w:val="0"/>
        <w:spacing w:lineRule="auto" w:line="300" w:before="0" w:after="0"/>
        <w:ind w:left="0" w:right="0" w:firstLine="720"/>
        <w:jc w:val="left"/>
        <w:rPr>
          <w:i/>
        </w:rPr>
      </w:pPr>
      <w:r>
        <w:rPr>
          <w:i/>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Revenue. </w:t>
      </w:r>
      <w:r>
        <w:rPr>
          <w:rFonts w:ascii="Times New Roman;Times;serif" w:hAnsi="Times New Roman;Times;serif"/>
          <w:sz w:val="20"/>
        </w:rPr>
        <w:t>Our revenue is primarily comprised of transaction fees and service fees. We earn transaction fees for enabling orders and providing other services and service fees to cover administrative fees.</w:t>
      </w:r>
    </w:p>
    <w:p>
      <w:pPr>
        <w:pStyle w:val="TextBody"/>
        <w:bidi w:val="0"/>
        <w:spacing w:lineRule="auto" w:line="300" w:before="0" w:after="0"/>
        <w:ind w:left="0" w:right="0" w:firstLine="720"/>
        <w:jc w:val="left"/>
        <w:rPr>
          <w:i/>
        </w:rPr>
      </w:pPr>
      <w:r>
        <w:rPr>
          <w:i/>
        </w:rPr>
      </w:r>
    </w:p>
    <w:p>
      <w:pPr>
        <w:pStyle w:val="TextBody"/>
        <w:bidi w:val="0"/>
        <w:spacing w:lineRule="auto" w:line="300" w:before="0" w:after="0"/>
        <w:ind w:left="0" w:right="0" w:firstLine="720"/>
        <w:jc w:val="left"/>
        <w:rPr>
          <w:sz w:val="20"/>
        </w:rPr>
      </w:pPr>
      <w:r>
        <w:rPr>
          <w:i/>
          <w:sz w:val="20"/>
        </w:rPr>
        <w:t>Geographic Breakdown of Revenues</w:t>
      </w:r>
      <w:r>
        <w:rPr>
          <w:sz w:val="20"/>
        </w:rPr>
        <w:t>. The following table sets forth the geographic breakdown of revenues for the periods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56" w:name="z19dd2d138c9f4036ab8eab4a2ce08229"/>
      <w:bookmarkStart w:id="257" w:name="z19dd2d138c9f4036ab8eab4a2ce08229"/>
      <w:bookmarkEnd w:id="257"/>
    </w:p>
    <w:tbl>
      <w:tblPr>
        <w:tblW w:w="4865" w:type="dxa"/>
        <w:jc w:val="left"/>
        <w:tblInd w:w="0" w:type="dxa"/>
        <w:tblLayout w:type="fixed"/>
        <w:tblCellMar>
          <w:top w:w="0" w:type="dxa"/>
          <w:left w:w="0" w:type="dxa"/>
          <w:bottom w:w="0" w:type="dxa"/>
          <w:right w:w="0" w:type="dxa"/>
        </w:tblCellMar>
      </w:tblPr>
      <w:tblGrid>
        <w:gridCol w:w="1670"/>
        <w:gridCol w:w="60"/>
        <w:gridCol w:w="140"/>
        <w:gridCol w:w="800"/>
        <w:gridCol w:w="60"/>
        <w:gridCol w:w="60"/>
        <w:gridCol w:w="140"/>
        <w:gridCol w:w="800"/>
        <w:gridCol w:w="60"/>
        <w:gridCol w:w="60"/>
        <w:gridCol w:w="140"/>
        <w:gridCol w:w="800"/>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lineRule="auto" w:line="300" w:before="0" w:after="0"/>
              <w:jc w:val="center"/>
              <w:rPr/>
            </w:pPr>
            <w:r>
              <w:rPr>
                <w:b/>
              </w:rPr>
              <w:t>(in thousands</w:t>
            </w:r>
            <w:r>
              <w:rPr/>
              <w:t>)</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lineRule="auto" w:line="300" w:before="0" w:after="0"/>
              <w:jc w:val="left"/>
              <w:rPr/>
            </w:pPr>
            <w:r>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178,450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172,704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154,360</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lineRule="auto" w:line="300" w:before="0" w:after="0"/>
              <w:jc w:val="left"/>
              <w:rPr/>
            </w:pPr>
            <w:r>
              <w:rPr/>
              <w:t>Europe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95,593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84,484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77,019</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lineRule="auto" w:line="300" w:before="0" w:after="0"/>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54,400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48,585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38,437</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lineRule="auto" w:line="300" w:before="0" w:after="0"/>
              <w:jc w:val="left"/>
              <w:rPr/>
            </w:pPr>
            <w:r>
              <w:rPr/>
              <w:t>Rest of the world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29,664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28,153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24,991</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lineRule="auto" w:line="300" w:before="0" w:after="0"/>
              <w:jc w:val="left"/>
              <w:rPr/>
            </w:pPr>
            <w:r>
              <w:rPr/>
              <w:t>Israel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2,855</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lineRule="auto" w:line="300" w:before="0" w:after="0"/>
              <w:jc w:val="left"/>
              <w:rPr>
                <w:b/>
              </w:rPr>
            </w:pPr>
            <w:r>
              <w:rPr>
                <w:b/>
              </w:rPr>
              <w:t>Total</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361,375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337,366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297,662</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Cost of revenue</w:t>
      </w:r>
      <w:r>
        <w:rPr>
          <w:sz w:val="20"/>
        </w:rPr>
        <w:t>. Cost of revenue primarily consists of expenses related to payment processing companies’ fees, server hosting fees, costs of customer support personnel, amortization of capitalized internal-use software and developed technology and courses. We expect cost of revenue to increase in absolute dollars in future periods due to higher payment processing companies’ fees, server hosting fees and employee-related costs that are required to support additional transaction volume on our platform. The level and timing of all of these items could fluctuate and affect our cost of revenue in the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Gross profit and gross margin.</w:t>
      </w:r>
      <w:r>
        <w:rPr>
          <w:sz w:val="20"/>
        </w:rPr>
        <w:t xml:space="preserve"> Our gross profit and gross margin may fluctuate from period to period. Such fluctuations may be influenced by our revenue, processing fees, timing and amount of investments to expand hosting capacity, our continued investments in our customer support teams and the amortization associated with capitalized internal-use software and developed technology.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Research and development.</w:t>
      </w:r>
      <w:r>
        <w:rPr>
          <w:sz w:val="20"/>
        </w:rPr>
        <w:t xml:space="preserve"> Research and development expenses are primarily comprised of costs of our research and development personnel, related overhead costs, including share-based compensation, development related activities expenses including new initiatives and other. Research and development costs are expensed as incurred, except to the extent that such costs are associated with internal-use software that qualifies for capitalization. We believe continued investments in research and development are important to attain our strategic objectives and we expect these costs to grow over time as we grow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Sales and marketing.</w:t>
      </w:r>
      <w:r>
        <w:rPr>
          <w:sz w:val="20"/>
        </w:rPr>
        <w:t xml:space="preserve"> Sales and marketing expenses are primarily comprised of costs of our marketing personnel, the related overhead costs, including share-based compensation for employees engaged in sales, marketing, advertising and promotional activities. A significant component is performance marketing investments such as user acquisition costs, branding costs, marketing campaigns and other media advertisements, and amortization of customer relationships, creative relationships and trade name and other advertising costs. Sales and marketing expenses are expensed as incurred. We intend to continue to invest in our sales and marketing capabilities in the future to drive revenue growth and to continue to increase our brand awareness. Sales and marketing expenses in absolute dollars and as a percentage of total revenue may fluctuate from period-to-period based on total revenue levels and the timing of our investments in our sales and marketing functions as these investments may vary in scope and scale over future periods.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General and administrative.</w:t>
      </w:r>
      <w:r>
        <w:rPr>
          <w:sz w:val="20"/>
        </w:rPr>
        <w:t xml:space="preserve"> General and administrative expenses primarily include overhead related costs, including share-based compensation of the Company’s executive, finance, legal, human resources and other administrative personnel. General and administrative expenses also include legal, accounting and other professional service fees, other corporate expenses, as well as chargeback expenses and costs associated with fraud risk reduction and others. General and administrative expenses are expensed as incurred. We expect that our general and administrative expenses will grow over time as we grow our business, as well as to cover the additional cost and expenses associated with maintaining a publicly listed company.</w:t>
      </w:r>
    </w:p>
    <w:p>
      <w:pPr>
        <w:pStyle w:val="TextBody"/>
        <w:bidi w:val="0"/>
        <w:spacing w:lineRule="auto" w:line="300" w:before="0" w:after="0"/>
        <w:jc w:val="left"/>
        <w:rPr/>
      </w:pPr>
      <w:r>
        <w:rPr/>
        <w:t xml:space="preserve">  </w:t>
      </w:r>
    </w:p>
    <w:p>
      <w:pPr>
        <w:pStyle w:val="TextBody"/>
        <w:bidi w:val="0"/>
        <w:spacing w:lineRule="auto" w:line="300" w:before="0" w:after="0"/>
        <w:ind w:left="0" w:right="0" w:firstLine="720"/>
        <w:jc w:val="both"/>
        <w:rPr>
          <w:sz w:val="20"/>
        </w:rPr>
      </w:pPr>
      <w:r>
        <w:rPr>
          <w:i/>
          <w:sz w:val="20"/>
        </w:rPr>
        <w:t>Impairment of intangible assets.</w:t>
      </w:r>
      <w:r>
        <w:rPr>
          <w:sz w:val="20"/>
        </w:rPr>
        <w:t xml:space="preserve"> Impairment of intangible assets and internal use software capitalization as a result of adverse change in macroeconomic conditions.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Financial income, net. </w:t>
      </w:r>
      <w:r>
        <w:rPr>
          <w:sz w:val="20"/>
        </w:rPr>
        <w:t>Financial income, net primarily include interest earned on cash and cash equivalents, deposits and marketable securities. In addition, amortization of discount and issuance costs of our Convertible Notes, exchange rate gains (losses) due to foreign exchange fluctuations and other financial expenses in connection with bank charges and long-term loan.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Income taxes. </w:t>
      </w:r>
      <w:r>
        <w:rPr>
          <w:sz w:val="20"/>
        </w:rPr>
        <w:t>Income taxes primarily include reserves for uncertain tax positions. As of December 31, 2023, we utilized our carryforwards net operating loss for Israeli tax purposes amounted to approximately $85.4 million. After we utilize our net operating loss carryforwards, we are eligible for certain tax benefits in Israel under the Law for the Encouragement of Capital Investments, 1959, or the Investment Law. For more information regarding the tax benefits available to us, see Item 10.E. “</w:t>
      </w:r>
      <w:r>
        <w:rPr>
          <w:i/>
          <w:sz w:val="20"/>
        </w:rPr>
        <w:t>Taxation</w:t>
      </w:r>
      <w:r>
        <w:rPr>
          <w:sz w:val="20"/>
        </w:rPr>
        <w:t>.” As of December 31, 2023, we had net operating loss carryforwards for U.S. tax purposes in the amount of approximately $34.5 million, which are expected to be subject to certain limitations under Internal Revenue Code, or IRC, Section 382 following changes in control that occurred upon acquisition of both ClearVoice, Working Not Working and CreativeLive.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bidi w:val="0"/>
        <w:spacing w:before="200" w:after="200"/>
        <w:jc w:val="left"/>
        <w:rPr/>
      </w:pPr>
      <w:r>
        <w:rPr/>
      </w:r>
    </w:p>
    <w:p>
      <w:pPr>
        <w:pStyle w:val="TextBody"/>
        <w:bidi w:val="0"/>
        <w:spacing w:before="0" w:after="0"/>
        <w:jc w:val="left"/>
        <w:rPr/>
      </w:pPr>
      <w:r>
        <w:rPr/>
      </w:r>
      <w:bookmarkStart w:id="258" w:name="z3316972fc04a4dce898406671eea443a"/>
      <w:bookmarkStart w:id="259" w:name="A.5"/>
      <w:bookmarkStart w:id="260" w:name="z3316972fc04a4dce898406671eea443a"/>
      <w:bookmarkStart w:id="261" w:name="A.5"/>
      <w:bookmarkEnd w:id="260"/>
      <w:bookmarkEnd w:id="261"/>
    </w:p>
    <w:tbl>
      <w:tblPr>
        <w:tblW w:w="2140" w:type="dxa"/>
        <w:jc w:val="left"/>
        <w:tblInd w:w="0" w:type="dxa"/>
        <w:tblLayout w:type="fixed"/>
        <w:tblCellMar>
          <w:top w:w="0" w:type="dxa"/>
          <w:left w:w="0" w:type="dxa"/>
          <w:bottom w:w="0" w:type="dxa"/>
          <w:right w:w="0" w:type="dxa"/>
        </w:tblCellMar>
      </w:tblPr>
      <w:tblGrid>
        <w:gridCol w:w="275"/>
        <w:gridCol w:w="1865"/>
      </w:tblGrid>
      <w:tr>
        <w:trPr/>
        <w:tc>
          <w:tcPr>
            <w:tcW w:w="275" w:type="dxa"/>
            <w:tcBorders/>
            <w:vAlign w:val="center"/>
          </w:tcPr>
          <w:p>
            <w:pPr>
              <w:pStyle w:val="TableContents"/>
              <w:bidi w:val="0"/>
              <w:spacing w:before="0" w:after="283"/>
              <w:jc w:val="left"/>
              <w:rPr>
                <w:b/>
              </w:rPr>
            </w:pPr>
            <w:r>
              <w:rPr>
                <w:b/>
              </w:rPr>
              <w:t>A.</w:t>
            </w:r>
          </w:p>
        </w:tc>
        <w:tc>
          <w:tcPr>
            <w:tcW w:w="1865" w:type="dxa"/>
            <w:tcBorders/>
            <w:vAlign w:val="center"/>
          </w:tcPr>
          <w:p>
            <w:pPr>
              <w:pStyle w:val="TableContents"/>
              <w:bidi w:val="0"/>
              <w:spacing w:before="0" w:after="0"/>
              <w:jc w:val="left"/>
              <w:rPr>
                <w:b/>
              </w:rPr>
            </w:pPr>
            <w:r>
              <w:rPr>
                <w:b/>
              </w:rPr>
              <w:t>Operating Results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a discussion of our results of operations for the year ended December 31, 2021, including a year-to-year comparison between 2022 and 2021, and a discussion of our liquidity and capital resources for the year ended December 31, 2021, refer to Item 5. “</w:t>
      </w:r>
      <w:r>
        <w:rPr>
          <w:i/>
          <w:sz w:val="20"/>
        </w:rPr>
        <w:t xml:space="preserve">Operating and Financial Review and Prospects” </w:t>
      </w:r>
      <w:r>
        <w:rPr>
          <w:sz w:val="20"/>
        </w:rPr>
        <w:t>in our Annual Report on Form 20-F for the year ended December 31,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tables set forth our results of operations in U.S. dollars and as a percentage of revenue for the periods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62" w:name="z7c778b016f15424da2ac283e1a317fa3"/>
      <w:bookmarkStart w:id="263" w:name="z7c778b016f15424da2ac283e1a317fa3"/>
      <w:bookmarkEnd w:id="263"/>
    </w:p>
    <w:tbl>
      <w:tblPr>
        <w:tblW w:w="6086" w:type="dxa"/>
        <w:jc w:val="left"/>
        <w:tblInd w:w="0" w:type="dxa"/>
        <w:tblLayout w:type="fixed"/>
        <w:tblCellMar>
          <w:top w:w="0" w:type="dxa"/>
          <w:left w:w="0" w:type="dxa"/>
          <w:bottom w:w="0" w:type="dxa"/>
          <w:right w:w="0" w:type="dxa"/>
        </w:tblCellMar>
      </w:tblPr>
      <w:tblGrid>
        <w:gridCol w:w="3260"/>
        <w:gridCol w:w="60"/>
        <w:gridCol w:w="182"/>
        <w:gridCol w:w="1045"/>
        <w:gridCol w:w="124"/>
        <w:gridCol w:w="78"/>
        <w:gridCol w:w="182"/>
        <w:gridCol w:w="1045"/>
        <w:gridCol w:w="11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b/>
              </w:rPr>
              <w:t>(in thousands</w:t>
            </w:r>
            <w:r>
              <w:rPr/>
              <w:t>)</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lineRule="auto" w:line="300" w:before="0" w:after="0"/>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lineRule="auto" w:line="300" w:before="0" w:after="0"/>
              <w:jc w:val="left"/>
              <w:rPr/>
            </w:pPr>
            <w:r>
              <w:rPr/>
              <w:t>$</w:t>
            </w:r>
          </w:p>
        </w:tc>
        <w:tc>
          <w:tcPr>
            <w:tcW w:w="1045" w:type="dxa"/>
            <w:tcBorders/>
            <w:shd w:fill="CCEEFF" w:val="clear"/>
            <w:vAlign w:val="center"/>
          </w:tcPr>
          <w:p>
            <w:pPr>
              <w:pStyle w:val="TableContents"/>
              <w:bidi w:val="0"/>
              <w:spacing w:lineRule="auto" w:line="300" w:before="0" w:after="0"/>
              <w:jc w:val="right"/>
              <w:rPr/>
            </w:pPr>
            <w:r>
              <w:rPr/>
              <w:t>361,375</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lineRule="auto" w:line="300" w:before="0" w:after="0"/>
              <w:jc w:val="left"/>
              <w:rPr/>
            </w:pPr>
            <w:r>
              <w:rPr/>
              <w:t>$</w:t>
            </w:r>
          </w:p>
        </w:tc>
        <w:tc>
          <w:tcPr>
            <w:tcW w:w="1045" w:type="dxa"/>
            <w:tcBorders/>
            <w:shd w:fill="CCEEFF" w:val="clear"/>
            <w:vAlign w:val="center"/>
          </w:tcPr>
          <w:p>
            <w:pPr>
              <w:pStyle w:val="TableContents"/>
              <w:bidi w:val="0"/>
              <w:spacing w:lineRule="auto" w:line="300" w:before="0" w:after="0"/>
              <w:jc w:val="right"/>
              <w:rPr/>
            </w:pPr>
            <w:r>
              <w:rPr/>
              <w:t>337,366</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lineRule="auto" w:line="300" w:before="0" w:after="0"/>
              <w:jc w:val="left"/>
              <w:rPr/>
            </w:pPr>
            <w:r>
              <w:rPr/>
              <w:t>Cost of revenue</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61,846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65,948</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lineRule="auto" w:line="300" w:before="0" w:after="0"/>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lineRule="auto" w:line="300" w:before="0" w:after="0"/>
              <w:jc w:val="right"/>
              <w:rPr/>
            </w:pPr>
            <w:r>
              <w:rPr/>
              <w:t>299,529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lineRule="auto" w:line="300" w:before="0" w:after="0"/>
              <w:jc w:val="right"/>
              <w:rPr/>
            </w:pPr>
            <w:r>
              <w:rPr/>
              <w:t>271,418</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lineRule="auto" w:line="300" w:before="0" w:after="0"/>
              <w:jc w:val="left"/>
              <w:rPr/>
            </w:pPr>
            <w:r>
              <w:rPr/>
              <w:t>Operating expenses:</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lineRule="auto" w:line="300" w:before="0" w:after="0"/>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lineRule="auto" w:line="300" w:before="0" w:after="0"/>
              <w:jc w:val="right"/>
              <w:rPr/>
            </w:pPr>
            <w:r>
              <w:rPr/>
              <w:t>90,720</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lineRule="auto" w:line="300" w:before="0" w:after="0"/>
              <w:jc w:val="right"/>
              <w:rPr/>
            </w:pPr>
            <w:r>
              <w:rPr/>
              <w:t>92,563</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lineRule="auto" w:line="300" w:before="0" w:after="0"/>
              <w:jc w:val="left"/>
              <w:rPr/>
            </w:pPr>
            <w:r>
              <w:rPr/>
              <w:t>Sales and marketing</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lineRule="auto" w:line="300" w:before="0" w:after="0"/>
              <w:jc w:val="right"/>
              <w:rPr/>
            </w:pPr>
            <w:r>
              <w:rPr/>
              <w:t>161,208</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lineRule="auto" w:line="300" w:before="0" w:after="0"/>
              <w:jc w:val="right"/>
              <w:rPr/>
            </w:pPr>
            <w:r>
              <w:rPr/>
              <w:t>174,599</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lineRule="auto" w:line="300" w:before="0" w:after="0"/>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lineRule="auto" w:line="300" w:before="0" w:after="0"/>
              <w:jc w:val="right"/>
              <w:rPr/>
            </w:pPr>
            <w:r>
              <w:rPr/>
              <w:t>62,710</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lineRule="auto" w:line="300" w:before="0" w:after="0"/>
              <w:jc w:val="right"/>
              <w:rPr/>
            </w:pPr>
            <w:r>
              <w:rPr/>
              <w:t>51,161</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lineRule="auto" w:line="300" w:before="0" w:after="0"/>
              <w:jc w:val="left"/>
              <w:rPr/>
            </w:pPr>
            <w:r>
              <w:rPr/>
              <w:t>Impairment of intangible assets</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27,629</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lineRule="auto" w:line="300" w:before="0" w:after="0"/>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314,638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345,952</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lineRule="auto" w:line="300" w:before="0" w:after="0"/>
              <w:jc w:val="left"/>
              <w:rPr/>
            </w:pPr>
            <w:r>
              <w:rPr/>
              <w:t>Operating loss</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lineRule="auto" w:line="300" w:before="0" w:after="0"/>
              <w:jc w:val="right"/>
              <w:rPr/>
            </w:pPr>
            <w:r>
              <w:rPr/>
              <w:t>(15,109</w:t>
            </w:r>
          </w:p>
        </w:tc>
        <w:tc>
          <w:tcPr>
            <w:tcW w:w="124" w:type="dxa"/>
            <w:tcBorders/>
            <w:vAlign w:val="center"/>
          </w:tcPr>
          <w:p>
            <w:pPr>
              <w:pStyle w:val="TableContents"/>
              <w:bidi w:val="0"/>
              <w:spacing w:lineRule="auto" w:line="300" w:before="0" w:after="0"/>
              <w:jc w:val="left"/>
              <w:rPr/>
            </w:pPr>
            <w:r>
              <w:rPr/>
              <w:t>)</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lineRule="auto" w:line="300" w:before="0" w:after="0"/>
              <w:jc w:val="right"/>
              <w:rPr/>
            </w:pPr>
            <w:r>
              <w:rPr/>
              <w:t>(74,534</w:t>
            </w:r>
          </w:p>
        </w:tc>
        <w:tc>
          <w:tcPr>
            <w:tcW w:w="110" w:type="dxa"/>
            <w:tcBorders/>
            <w:vAlign w:val="center"/>
          </w:tcPr>
          <w:p>
            <w:pPr>
              <w:pStyle w:val="TableContents"/>
              <w:bidi w:val="0"/>
              <w:spacing w:lineRule="auto" w:line="300" w:before="0" w:after="0"/>
              <w:jc w:val="left"/>
              <w:rPr/>
            </w:pPr>
            <w:r>
              <w:rPr/>
              <w:t>)</w:t>
            </w:r>
          </w:p>
        </w:tc>
      </w:tr>
      <w:tr>
        <w:trPr/>
        <w:tc>
          <w:tcPr>
            <w:tcW w:w="3260" w:type="dxa"/>
            <w:tcBorders/>
            <w:shd w:fill="CCEEFF" w:val="clear"/>
            <w:vAlign w:val="center"/>
          </w:tcPr>
          <w:p>
            <w:pPr>
              <w:pStyle w:val="TableContents"/>
              <w:bidi w:val="0"/>
              <w:spacing w:lineRule="auto" w:line="300" w:before="0" w:after="0"/>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20,163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3,624</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lineRule="auto" w:line="300" w:before="0" w:after="0"/>
              <w:jc w:val="left"/>
              <w:rPr/>
            </w:pPr>
            <w:r>
              <w:rPr/>
              <w:t>Income (loss) before income taxes</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5,054</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(70,910</w:t>
            </w:r>
          </w:p>
        </w:tc>
        <w:tc>
          <w:tcPr>
            <w:tcW w:w="110" w:type="dxa"/>
            <w:tcBorders/>
            <w:vAlign w:val="center"/>
          </w:tcPr>
          <w:p>
            <w:pPr>
              <w:pStyle w:val="TableContents"/>
              <w:bidi w:val="0"/>
              <w:spacing w:lineRule="auto" w:line="300" w:before="0" w:after="0"/>
              <w:jc w:val="left"/>
              <w:rPr/>
            </w:pPr>
            <w:r>
              <w:rPr/>
              <w:t>)</w:t>
            </w:r>
          </w:p>
        </w:tc>
      </w:tr>
      <w:tr>
        <w:trPr/>
        <w:tc>
          <w:tcPr>
            <w:tcW w:w="3260" w:type="dxa"/>
            <w:tcBorders/>
            <w:shd w:fill="CCEEFF" w:val="clear"/>
            <w:vAlign w:val="center"/>
          </w:tcPr>
          <w:p>
            <w:pPr>
              <w:pStyle w:val="TableContents"/>
              <w:bidi w:val="0"/>
              <w:spacing w:lineRule="auto" w:line="300" w:before="0" w:after="0"/>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(1,373</w:t>
            </w:r>
          </w:p>
        </w:tc>
        <w:tc>
          <w:tcPr>
            <w:tcW w:w="124" w:type="dxa"/>
            <w:tcBorders/>
            <w:shd w:fill="CCEEFF" w:val="clear"/>
            <w:vAlign w:val="center"/>
          </w:tcPr>
          <w:p>
            <w:pPr>
              <w:pStyle w:val="TableContents"/>
              <w:bidi w:val="0"/>
              <w:spacing w:lineRule="auto" w:line="300" w:before="0" w:after="0"/>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(577</w:t>
            </w:r>
          </w:p>
        </w:tc>
        <w:tc>
          <w:tcPr>
            <w:tcW w:w="110" w:type="dxa"/>
            <w:tcBorders/>
            <w:shd w:fill="CCEEFF" w:val="clear"/>
            <w:vAlign w:val="center"/>
          </w:tcPr>
          <w:p>
            <w:pPr>
              <w:pStyle w:val="TableContents"/>
              <w:bidi w:val="0"/>
              <w:spacing w:lineRule="auto" w:line="300" w:before="0" w:after="0"/>
              <w:jc w:val="left"/>
              <w:rPr/>
            </w:pPr>
            <w:r>
              <w:rPr/>
              <w:t>)</w:t>
            </w:r>
          </w:p>
        </w:tc>
      </w:tr>
      <w:tr>
        <w:trPr/>
        <w:tc>
          <w:tcPr>
            <w:tcW w:w="3260" w:type="dxa"/>
            <w:tcBorders/>
            <w:vAlign w:val="center"/>
          </w:tcPr>
          <w:p>
            <w:pPr>
              <w:pStyle w:val="TableContents"/>
              <w:bidi w:val="0"/>
              <w:spacing w:lineRule="auto" w:line="300" w:before="0" w:after="0"/>
              <w:jc w:val="left"/>
              <w:rPr/>
            </w:pPr>
            <w:r>
              <w:rPr/>
              <w:t>Net Income (loss)</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3,681</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1045" w:type="dxa"/>
            <w:tcBorders>
              <w:bottom w:val="single" w:sz="12" w:space="0" w:color="000000"/>
            </w:tcBorders>
            <w:tcMar>
              <w:bottom w:w="28" w:type="dxa"/>
            </w:tcMar>
            <w:vAlign w:val="center"/>
          </w:tcPr>
          <w:p>
            <w:pPr>
              <w:pStyle w:val="TableContents"/>
              <w:bidi w:val="0"/>
              <w:spacing w:lineRule="auto" w:line="300" w:before="0" w:after="0"/>
              <w:jc w:val="right"/>
              <w:rPr/>
            </w:pPr>
            <w:r>
              <w:rPr/>
              <w:t>(71,487</w:t>
            </w:r>
          </w:p>
        </w:tc>
        <w:tc>
          <w:tcPr>
            <w:tcW w:w="110"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tbl>
      <w:tblPr>
        <w:tblW w:w="6373" w:type="dxa"/>
        <w:jc w:val="left"/>
        <w:tblInd w:w="0" w:type="dxa"/>
        <w:tblLayout w:type="fixed"/>
        <w:tblCellMar>
          <w:top w:w="0" w:type="dxa"/>
          <w:left w:w="0" w:type="dxa"/>
          <w:bottom w:w="0" w:type="dxa"/>
          <w:right w:w="0" w:type="dxa"/>
        </w:tblCellMar>
      </w:tblPr>
      <w:tblGrid>
        <w:gridCol w:w="3350"/>
        <w:gridCol w:w="60"/>
        <w:gridCol w:w="105"/>
        <w:gridCol w:w="983"/>
        <w:gridCol w:w="377"/>
        <w:gridCol w:w="105"/>
        <w:gridCol w:w="105"/>
        <w:gridCol w:w="983"/>
        <w:gridCol w:w="30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30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37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30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b/>
              </w:rPr>
              <w:t>(as a% of revenue</w:t>
            </w:r>
            <w:r>
              <w:rPr/>
              <w:t>)</w:t>
            </w:r>
          </w:p>
        </w:tc>
        <w:tc>
          <w:tcPr>
            <w:tcW w:w="30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100.0</w:t>
            </w:r>
          </w:p>
        </w:tc>
        <w:tc>
          <w:tcPr>
            <w:tcW w:w="377" w:type="dxa"/>
            <w:tcBorders/>
            <w:shd w:fill="CCEEFF" w:val="clear"/>
            <w:vAlign w:val="center"/>
          </w:tcPr>
          <w:p>
            <w:pPr>
              <w:pStyle w:val="TableContents"/>
              <w:bidi w:val="0"/>
              <w:spacing w:lineRule="auto" w:line="300" w:before="0" w:after="0"/>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100.0</w:t>
            </w:r>
          </w:p>
        </w:tc>
        <w:tc>
          <w:tcPr>
            <w:tcW w:w="305" w:type="dxa"/>
            <w:tcBorders/>
            <w:shd w:fill="CCEEFF" w:val="clear"/>
            <w:vAlign w:val="center"/>
          </w:tcPr>
          <w:p>
            <w:pPr>
              <w:pStyle w:val="TableContents"/>
              <w:bidi w:val="0"/>
              <w:spacing w:lineRule="auto" w:line="300" w:before="0" w:after="0"/>
              <w:jc w:val="left"/>
              <w:rPr/>
            </w:pPr>
            <w:r>
              <w:rPr/>
              <w:t>%</w:t>
            </w:r>
          </w:p>
        </w:tc>
      </w:tr>
      <w:tr>
        <w:trPr/>
        <w:tc>
          <w:tcPr>
            <w:tcW w:w="3350" w:type="dxa"/>
            <w:tcBorders/>
            <w:vAlign w:val="center"/>
          </w:tcPr>
          <w:p>
            <w:pPr>
              <w:pStyle w:val="TableContents"/>
              <w:bidi w:val="0"/>
              <w:spacing w:lineRule="auto" w:line="300" w:before="0" w:after="0"/>
              <w:jc w:val="left"/>
              <w:rPr/>
            </w:pPr>
            <w:r>
              <w:rPr/>
              <w:t>Cost of revenue</w:t>
            </w:r>
          </w:p>
        </w:tc>
        <w:tc>
          <w:tcPr>
            <w:tcW w:w="6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17.1</w:t>
            </w:r>
          </w:p>
        </w:tc>
        <w:tc>
          <w:tcPr>
            <w:tcW w:w="37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19.5</w:t>
            </w:r>
          </w:p>
        </w:tc>
        <w:tc>
          <w:tcPr>
            <w:tcW w:w="30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82.9</w:t>
            </w:r>
          </w:p>
        </w:tc>
        <w:tc>
          <w:tcPr>
            <w:tcW w:w="37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80.5</w:t>
            </w:r>
          </w:p>
        </w:tc>
        <w:tc>
          <w:tcPr>
            <w:tcW w:w="30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Operating expenses: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37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25.1</w:t>
            </w:r>
          </w:p>
        </w:tc>
        <w:tc>
          <w:tcPr>
            <w:tcW w:w="37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27.4</w:t>
            </w:r>
          </w:p>
        </w:tc>
        <w:tc>
          <w:tcPr>
            <w:tcW w:w="30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Sales and marketing</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lineRule="auto" w:line="300" w:before="0" w:after="0"/>
              <w:jc w:val="right"/>
              <w:rPr/>
            </w:pPr>
            <w:r>
              <w:rPr/>
              <w:t>44.6</w:t>
            </w:r>
          </w:p>
        </w:tc>
        <w:tc>
          <w:tcPr>
            <w:tcW w:w="37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lineRule="auto" w:line="300" w:before="0" w:after="0"/>
              <w:jc w:val="right"/>
              <w:rPr/>
            </w:pPr>
            <w:r>
              <w:rPr/>
              <w:t>51.8</w:t>
            </w:r>
          </w:p>
        </w:tc>
        <w:tc>
          <w:tcPr>
            <w:tcW w:w="30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17.4</w:t>
            </w:r>
          </w:p>
        </w:tc>
        <w:tc>
          <w:tcPr>
            <w:tcW w:w="37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pPr>
            <w:r>
              <w:rPr/>
              <w:t>15.2</w:t>
            </w:r>
          </w:p>
        </w:tc>
        <w:tc>
          <w:tcPr>
            <w:tcW w:w="30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Impairment of intangible assets</w:t>
            </w:r>
          </w:p>
        </w:tc>
        <w:tc>
          <w:tcPr>
            <w:tcW w:w="6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37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8.2</w:t>
            </w:r>
          </w:p>
        </w:tc>
        <w:tc>
          <w:tcPr>
            <w:tcW w:w="30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87.1</w:t>
            </w:r>
          </w:p>
        </w:tc>
        <w:tc>
          <w:tcPr>
            <w:tcW w:w="37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102.5</w:t>
            </w:r>
          </w:p>
        </w:tc>
        <w:tc>
          <w:tcPr>
            <w:tcW w:w="30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Operating loss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lineRule="auto" w:line="300" w:before="0" w:after="0"/>
              <w:jc w:val="right"/>
              <w:rPr/>
            </w:pPr>
            <w:r>
              <w:rPr/>
              <w:t>(4.2</w:t>
            </w:r>
          </w:p>
        </w:tc>
        <w:tc>
          <w:tcPr>
            <w:tcW w:w="377" w:type="dxa"/>
            <w:tcBorders/>
            <w:vAlign w:val="center"/>
          </w:tcPr>
          <w:p>
            <w:pPr>
              <w:pStyle w:val="TableContents"/>
              <w:bidi w:val="0"/>
              <w:spacing w:lineRule="auto" w:line="300" w:before="0" w:after="0"/>
              <w:jc w:val="lef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lineRule="auto" w:line="300" w:before="0" w:after="0"/>
              <w:jc w:val="right"/>
              <w:rPr/>
            </w:pPr>
            <w:r>
              <w:rPr/>
              <w:t>(22.1</w:t>
            </w:r>
          </w:p>
        </w:tc>
        <w:tc>
          <w:tcPr>
            <w:tcW w:w="305" w:type="dxa"/>
            <w:tcBorders/>
            <w:vAlign w:val="center"/>
          </w:tcPr>
          <w:p>
            <w:pPr>
              <w:pStyle w:val="TableContents"/>
              <w:bidi w:val="0"/>
              <w:spacing w:lineRule="auto" w:line="300" w:before="0" w:after="0"/>
              <w:jc w:val="left"/>
              <w:rPr/>
            </w:pPr>
            <w:r>
              <w:rPr/>
              <w:t>)</w:t>
            </w:r>
          </w:p>
        </w:tc>
      </w:tr>
      <w:tr>
        <w:trPr/>
        <w:tc>
          <w:tcPr>
            <w:tcW w:w="3350" w:type="dxa"/>
            <w:tcBorders/>
            <w:shd w:fill="CCEEFF" w:val="clear"/>
            <w:vAlign w:val="center"/>
          </w:tcPr>
          <w:p>
            <w:pPr>
              <w:pStyle w:val="TableContents"/>
              <w:bidi w:val="0"/>
              <w:spacing w:lineRule="auto" w:line="300" w:before="0" w:after="0"/>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5.6</w:t>
            </w:r>
          </w:p>
        </w:tc>
        <w:tc>
          <w:tcPr>
            <w:tcW w:w="37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w:t>
            </w:r>
          </w:p>
        </w:tc>
        <w:tc>
          <w:tcPr>
            <w:tcW w:w="30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Income (Loss) before income taxes</w:t>
            </w:r>
          </w:p>
        </w:tc>
        <w:tc>
          <w:tcPr>
            <w:tcW w:w="6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1.4</w:t>
            </w:r>
          </w:p>
        </w:tc>
        <w:tc>
          <w:tcPr>
            <w:tcW w:w="37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(21.0</w:t>
            </w:r>
          </w:p>
        </w:tc>
        <w:tc>
          <w:tcPr>
            <w:tcW w:w="305" w:type="dxa"/>
            <w:tcBorders/>
            <w:vAlign w:val="center"/>
          </w:tcPr>
          <w:p>
            <w:pPr>
              <w:pStyle w:val="TableContents"/>
              <w:bidi w:val="0"/>
              <w:spacing w:lineRule="auto" w:line="300" w:before="0" w:after="0"/>
              <w:jc w:val="left"/>
              <w:rPr/>
            </w:pPr>
            <w:r>
              <w:rPr/>
              <w:t>)</w:t>
            </w:r>
          </w:p>
        </w:tc>
      </w:tr>
      <w:tr>
        <w:trPr/>
        <w:tc>
          <w:tcPr>
            <w:tcW w:w="3350" w:type="dxa"/>
            <w:tcBorders/>
            <w:shd w:fill="CCEEFF" w:val="clear"/>
            <w:vAlign w:val="center"/>
          </w:tcPr>
          <w:p>
            <w:pPr>
              <w:pStyle w:val="TableContents"/>
              <w:bidi w:val="0"/>
              <w:spacing w:lineRule="auto" w:line="300" w:before="0" w:after="0"/>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(0.4</w:t>
            </w:r>
          </w:p>
        </w:tc>
        <w:tc>
          <w:tcPr>
            <w:tcW w:w="377" w:type="dxa"/>
            <w:tcBorders/>
            <w:shd w:fill="CCEEFF" w:val="clear"/>
            <w:vAlign w:val="center"/>
          </w:tcPr>
          <w:p>
            <w:pPr>
              <w:pStyle w:val="TableContents"/>
              <w:bidi w:val="0"/>
              <w:spacing w:lineRule="auto" w:line="300" w:before="0" w:after="0"/>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(0.2</w:t>
            </w:r>
          </w:p>
        </w:tc>
        <w:tc>
          <w:tcPr>
            <w:tcW w:w="305" w:type="dxa"/>
            <w:tcBorders/>
            <w:shd w:fill="CCEEFF" w:val="clear"/>
            <w:vAlign w:val="center"/>
          </w:tcPr>
          <w:p>
            <w:pPr>
              <w:pStyle w:val="TableContents"/>
              <w:bidi w:val="0"/>
              <w:spacing w:lineRule="auto" w:line="300" w:before="0" w:after="0"/>
              <w:jc w:val="left"/>
              <w:rPr/>
            </w:pPr>
            <w:r>
              <w:rPr/>
              <w:t>)</w:t>
            </w:r>
          </w:p>
        </w:tc>
      </w:tr>
      <w:tr>
        <w:trPr/>
        <w:tc>
          <w:tcPr>
            <w:tcW w:w="3350" w:type="dxa"/>
            <w:tcBorders/>
            <w:vAlign w:val="center"/>
          </w:tcPr>
          <w:p>
            <w:pPr>
              <w:pStyle w:val="TableContents"/>
              <w:bidi w:val="0"/>
              <w:spacing w:lineRule="auto" w:line="300" w:before="0" w:after="0"/>
              <w:jc w:val="left"/>
              <w:rPr/>
            </w:pPr>
            <w:r>
              <w:rPr/>
              <w:t>Net income (loss)</w:t>
            </w:r>
          </w:p>
        </w:tc>
        <w:tc>
          <w:tcPr>
            <w:tcW w:w="6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1.0</w:t>
            </w:r>
          </w:p>
        </w:tc>
        <w:tc>
          <w:tcPr>
            <w:tcW w:w="377" w:type="dxa"/>
            <w:tcBorders/>
            <w:vAlign w:val="center"/>
          </w:tcPr>
          <w:p>
            <w:pPr>
              <w:pStyle w:val="TableContents"/>
              <w:bidi w:val="0"/>
              <w:spacing w:lineRule="auto" w:line="300" w:before="0" w:after="0"/>
              <w:jc w:val="left"/>
              <w:rPr/>
            </w:pPr>
            <w:r>
              <w:rPr/>
              <w:t>%</w:t>
            </w:r>
          </w:p>
        </w:tc>
        <w:tc>
          <w:tcPr>
            <w:tcW w:w="105"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pPr>
            <w:r>
              <w:rPr/>
              <w:t>(21.2</w:t>
            </w:r>
          </w:p>
        </w:tc>
        <w:tc>
          <w:tcPr>
            <w:tcW w:w="305"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b/>
          <w:i/>
          <w:sz w:val="20"/>
        </w:rPr>
      </w:pPr>
      <w:r>
        <w:rPr>
          <w:b/>
          <w:i/>
          <w:sz w:val="20"/>
        </w:rPr>
        <w:t>Year ended December 31, 2023 compared to year ended December 31, 2022</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Revenue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i/>
          <w:sz w:val="20"/>
        </w:rPr>
      </w:pPr>
      <w:r>
        <w:rPr>
          <w:i/>
          <w:sz w:val="20"/>
        </w:rPr>
        <w:t>Revenue increased by $24.0 million, or 7.1%, to $361.4 million for the year ended December 31, 2023 from $337.4 million for the year ended December 31, 2022. The increase was mainly due to a 6% increase in spend per buyer and an increase of 160 basis point in our take rate. We continue to grow our core platform and continued expansion of freelancer tools such as Promoted Gigs and Seller Plus, as well as the additional revenue e-learning courses, content marketing subscriptions, creative talent platform and freelancer management platform. For the years ended December 31, 2023 and 2022, we derived approximately 74.8% and 74.4% of our revenue from transaction fees, respectively, and approximately 25.2% and 25.6% of our revenue from service fees, respectively.</w:t>
      </w:r>
    </w:p>
    <w:p>
      <w:pPr>
        <w:pStyle w:val="TextBody"/>
        <w:bidi w:val="0"/>
        <w:spacing w:lineRule="auto" w:line="300" w:before="0" w:after="0"/>
        <w:jc w:val="left"/>
        <w:rPr>
          <w:i/>
        </w:rPr>
      </w:pPr>
      <w:r>
        <w:rPr>
          <w:i/>
        </w:rPr>
      </w:r>
    </w:p>
    <w:p>
      <w:pPr>
        <w:pStyle w:val="TextBody"/>
        <w:bidi w:val="0"/>
        <w:spacing w:lineRule="auto" w:line="300" w:before="0" w:after="0"/>
        <w:jc w:val="left"/>
        <w:rPr>
          <w:i/>
          <w:sz w:val="20"/>
        </w:rPr>
      </w:pPr>
      <w:r>
        <w:rPr>
          <w:i/>
          <w:sz w:val="20"/>
        </w:rPr>
        <w:t>Cost of revenue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Cost of revenue decreased by $4.1 million, or 6.2%, to $61.8 million for the year ended December 31, 2023 from $65.9 million for the year ended December 31, 2022. This was primarily due to a decrease of $2.8 million in amortization of capitalized internal-use software and developed technology and a decrease of $1.7 million due to saving of talent and contractors services. The decrease was partially offset by an increase of $0.2 million in hosting costs and an increase of $0.2 million in employee-related costs and subcontractors costs.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Research and development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Research and development costs decreased by $1.8 million, or 2.0%, to $90.7 million for the year ended December 31, 2023 from $92.6 million for the year ended December 31, 2022. This was primarily driven by a decrease of $1.0 million in employee-related and subcontractors costs, a decrease of $0.7 million in facilities maintenance and related operational costs and a decrease of $0.5 million in hedging activity. This was partially offset by an increase of $0.4 million in IT &amp; hosting services.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Sales and marketing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Sales and marketing expenses decreased by $13.4 million, or 7.7%, to $161.2 million for the year ended December 31, 2023 from $174.6 million for the year ended December 31, 2022. This decrease was primarily driven by a lower investment of $6.4 million in marketing campaigns and brand activities, a decrease of $3.9 million in share-based compensation, a decrease of $1.5 million in employee-related and subcontractors costs, a decrease of $1.3 million in intangible assets amortization and a decrease of $0.3 million in hedging expenses.</w:t>
      </w:r>
    </w:p>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General and administrative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General and administrative expenses increased by $11.5 million, or 22.6%, to $62.7 million for the year ended December 31, 2023 from $51.2 million for the year ended December 31, 2022. This increase was primarily due to $10.2 million prior year reversal of contingent consideration revaluation, an increase of $0.9 million in anti-fraud technology tools, an increase of $0.9 million in seller protection expenses, user compensation and other related expenses, an increase of $0.6 million in hedging activity and an increase of $0.3 million in share-based compensation. This was partially offset by a decrease of $1.4 million in employee-related costs.</w:t>
      </w:r>
    </w:p>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Impairment of intangible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 impairment was recorded for the year ended December 31, 2023 with respect to intangible assets. A $27.6 million impairment of intangible assets and internal use software capitalization for the year ended December 31, 2022 resulted from an adverse change in macroeconomic conditions.</w:t>
      </w:r>
    </w:p>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Financial income, net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Financial income, net, amounted to $20.2 million for the year ended December 31, 2023 compared to financial income, net, amounted to $3.6 million for the year ended December 31, 2022. The change was mainly driven by an increase of approximately $16.5 million in interest income earned from our cash and investment portfolio.</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Income taxes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Income taxes increased by $0.8 million for the year ended December 31, 2023 mainly due to uncertain tax provision and income taxes in the US.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4" w:name="zf2c9dc16a33946b2a22cdbbbc9619999"/>
      <w:bookmarkStart w:id="265" w:name="B.5"/>
      <w:bookmarkStart w:id="266" w:name="zf2c9dc16a33946b2a22cdbbbc9619999"/>
      <w:bookmarkStart w:id="267" w:name="B.5"/>
      <w:bookmarkEnd w:id="266"/>
      <w:bookmarkEnd w:id="267"/>
    </w:p>
    <w:tbl>
      <w:tblPr>
        <w:tblW w:w="3595" w:type="dxa"/>
        <w:jc w:val="left"/>
        <w:tblInd w:w="0" w:type="dxa"/>
        <w:tblLayout w:type="fixed"/>
        <w:tblCellMar>
          <w:top w:w="0" w:type="dxa"/>
          <w:left w:w="0" w:type="dxa"/>
          <w:bottom w:w="0" w:type="dxa"/>
          <w:right w:w="0" w:type="dxa"/>
        </w:tblCellMar>
      </w:tblPr>
      <w:tblGrid>
        <w:gridCol w:w="260"/>
        <w:gridCol w:w="3335"/>
      </w:tblGrid>
      <w:tr>
        <w:trPr/>
        <w:tc>
          <w:tcPr>
            <w:tcW w:w="260" w:type="dxa"/>
            <w:tcBorders/>
            <w:vAlign w:val="center"/>
          </w:tcPr>
          <w:p>
            <w:pPr>
              <w:pStyle w:val="TableContents"/>
              <w:bidi w:val="0"/>
              <w:spacing w:before="0" w:after="283"/>
              <w:jc w:val="left"/>
              <w:rPr>
                <w:b/>
              </w:rPr>
            </w:pPr>
            <w:r>
              <w:rPr>
                <w:b/>
              </w:rPr>
              <w:t>B.</w:t>
            </w:r>
          </w:p>
        </w:tc>
        <w:tc>
          <w:tcPr>
            <w:tcW w:w="3335" w:type="dxa"/>
            <w:tcBorders/>
            <w:vAlign w:val="center"/>
          </w:tcPr>
          <w:p>
            <w:pPr>
              <w:pStyle w:val="TableContents"/>
              <w:bidi w:val="0"/>
              <w:spacing w:before="0" w:after="0"/>
              <w:jc w:val="left"/>
              <w:rPr>
                <w:b/>
              </w:rPr>
            </w:pPr>
            <w:r>
              <w:rPr>
                <w:b/>
              </w:rPr>
              <w:t>Liquidity and Capital Resources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Since our inception we have funded our operations through sale of equity securities in private and public offerings, issuance of convertible notes, cash generated from operating activities and, to a lesser extent, through exercised options.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of December 31, 2023 and 2022 we had $745.7 million and $651.9 million, respectively, of cash, cash equivalents, bank deposits and marketable securities. In addition, we had restricted cash and restricted deposits related to the loan to finance leasehold improvements and our office space lease agreement of $1.3 million and $1.2 million as of December 31, 2023 and 2022, respectively. Our marketable securities amounted to $476.1 million and $431.1 million as of December 31, 2023 and 2022. Marketable securities are comprised of treasury, corporate and municipal bonds.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Our primary requirements for liquidity and capital resources are to finance working capital, capital expenditures and general corporate purposes. We assess our liquidity, in part, through an analysis of our working capital, current assets less current liabilities, together with other sources of liquidity. We had working capital of $389.1 million as of December 31, 2023, compared to $428.1 million as of December 31, 2022. The change is mainly derived from investment in long term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believe that our cash generated from operating activities, along with existing cash, cash equivalents, marketable securities and bank deposits will be sufficient to fund our working capital and capital expenditures for at least the next 12 months. We also expect our sources of liquidity will be sufficient to fund our office lease long-term contractual obligations and the capital needs for our Convertible Notes (as defined below) that will mature in 2025, and, depending on the price of our ordinary shares, we may need to pay the principal amount in cash. Based on the Company’s current share price, we expect that we will be required to pay in cash the $460 million in cash. However, this is subject, to a certain extent, to general economic, financial, competitive, regulatory and other factors that are beyond our control. Our future financing requirements will depend on many factors including our growth rate, the timing and extent of spending to support development of our platform and the expansion of marketing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capital expenditures for fiscal years 2023, 2022 and 2021 amounted to $1.1 million, $2.2 million and $2.6 million, respectively. Our capital expenditures consist primarily of computers and peripheral equipment, leasehold improvement and internal-use software costs. As part of the lease of our Israeli headquarters, the lessor financed an amount of $4.0 million out of the total cost of leasehold improvements in the office space. The remaining loan of $2.9 million was fully repaid on January 1, 2022. We may also seek to invest in or acquire complementary businesses or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December 31, 2023, while others are considered future commitments. Our contractual obligations primarily consist of purchase obligations, lease payments and convertible notes. For information regarding our other contractual obligations, refer to Note 9, 10 and 12 within our audited consolidated financial statements included elsewhere in this Annual Report.</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The following table presents the summary consolidated cash flow information for the periods presented.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68" w:name="zdc9c71bd21584383994495d3cc603546"/>
      <w:bookmarkStart w:id="269" w:name="zdc9c71bd21584383994495d3cc603546"/>
      <w:bookmarkEnd w:id="269"/>
    </w:p>
    <w:tbl>
      <w:tblPr>
        <w:tblW w:w="7600" w:type="dxa"/>
        <w:jc w:val="left"/>
        <w:tblInd w:w="0" w:type="dxa"/>
        <w:tblLayout w:type="fixed"/>
        <w:tblCellMar>
          <w:top w:w="0" w:type="dxa"/>
          <w:left w:w="0" w:type="dxa"/>
          <w:bottom w:w="0" w:type="dxa"/>
          <w:right w:w="0" w:type="dxa"/>
        </w:tblCellMar>
      </w:tblPr>
      <w:tblGrid>
        <w:gridCol w:w="4775"/>
        <w:gridCol w:w="60"/>
        <w:gridCol w:w="202"/>
        <w:gridCol w:w="985"/>
        <w:gridCol w:w="86"/>
        <w:gridCol w:w="86"/>
        <w:gridCol w:w="202"/>
        <w:gridCol w:w="1094"/>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b/>
              </w:rPr>
              <w:t>(in thousands</w:t>
            </w:r>
            <w:r>
              <w:rPr/>
              <w:t>)</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lineRule="auto" w:line="300" w:before="0" w:after="0"/>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lineRule="auto" w:line="300" w:before="0" w:after="0"/>
              <w:jc w:val="left"/>
              <w:rPr/>
            </w:pPr>
            <w:r>
              <w:rPr/>
              <w:t>$</w:t>
            </w:r>
          </w:p>
        </w:tc>
        <w:tc>
          <w:tcPr>
            <w:tcW w:w="985" w:type="dxa"/>
            <w:tcBorders/>
            <w:shd w:fill="CCEEFF" w:val="clear"/>
            <w:vAlign w:val="center"/>
          </w:tcPr>
          <w:p>
            <w:pPr>
              <w:pStyle w:val="TableContents"/>
              <w:bidi w:val="0"/>
              <w:spacing w:lineRule="auto" w:line="300" w:before="0" w:after="0"/>
              <w:jc w:val="right"/>
              <w:rPr/>
            </w:pPr>
            <w:r>
              <w:rPr/>
              <w:t>83,186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lineRule="auto" w:line="300" w:before="0" w:after="0"/>
              <w:jc w:val="left"/>
              <w:rPr/>
            </w:pPr>
            <w:r>
              <w:rPr/>
              <w:t>$</w:t>
            </w:r>
          </w:p>
        </w:tc>
        <w:tc>
          <w:tcPr>
            <w:tcW w:w="1094" w:type="dxa"/>
            <w:tcBorders/>
            <w:shd w:fill="CCEEFF" w:val="clear"/>
            <w:vAlign w:val="center"/>
          </w:tcPr>
          <w:p>
            <w:pPr>
              <w:pStyle w:val="TableContents"/>
              <w:bidi w:val="0"/>
              <w:spacing w:lineRule="auto" w:line="300" w:before="0" w:after="0"/>
              <w:jc w:val="right"/>
              <w:rPr/>
            </w:pPr>
            <w:r>
              <w:rPr/>
              <w:t>30,112</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lineRule="auto" w:line="300" w:before="0" w:after="0"/>
              <w:jc w:val="left"/>
              <w:rPr/>
            </w:pPr>
            <w:r>
              <w:rPr/>
              <w:t>Net cash provided by (used in) investing activities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lineRule="auto" w:line="300" w:before="0" w:after="0"/>
              <w:jc w:val="right"/>
              <w:rPr/>
            </w:pPr>
            <w:r>
              <w:rPr/>
              <w:t>9,776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lineRule="auto" w:line="300" w:before="0" w:after="0"/>
              <w:jc w:val="right"/>
              <w:rPr/>
            </w:pPr>
            <w:r>
              <w:rPr/>
              <w:t>(14,624</w:t>
            </w:r>
          </w:p>
        </w:tc>
        <w:tc>
          <w:tcPr>
            <w:tcW w:w="110" w:type="dxa"/>
            <w:tcBorders/>
            <w:vAlign w:val="center"/>
          </w:tcPr>
          <w:p>
            <w:pPr>
              <w:pStyle w:val="TableContents"/>
              <w:bidi w:val="0"/>
              <w:spacing w:lineRule="auto" w:line="300" w:before="0" w:after="0"/>
              <w:jc w:val="left"/>
              <w:rPr/>
            </w:pPr>
            <w:r>
              <w:rPr/>
              <w:t>)</w:t>
            </w:r>
          </w:p>
        </w:tc>
      </w:tr>
      <w:tr>
        <w:trPr/>
        <w:tc>
          <w:tcPr>
            <w:tcW w:w="4775" w:type="dxa"/>
            <w:tcBorders/>
            <w:shd w:fill="CCEEFF" w:val="clear"/>
            <w:vAlign w:val="center"/>
          </w:tcPr>
          <w:p>
            <w:pPr>
              <w:pStyle w:val="TableContents"/>
              <w:bidi w:val="0"/>
              <w:spacing w:lineRule="auto" w:line="300" w:before="0" w:after="0"/>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lineRule="auto" w:line="300" w:before="0" w:after="0"/>
              <w:jc w:val="right"/>
              <w:rPr/>
            </w:pPr>
            <w:r>
              <w:rPr/>
              <w:t>2,852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lineRule="auto" w:line="300" w:before="0" w:after="0"/>
              <w:jc w:val="right"/>
              <w:rPr/>
            </w:pPr>
            <w:r>
              <w:rPr/>
              <w:t>(1,637</w:t>
            </w:r>
          </w:p>
        </w:tc>
        <w:tc>
          <w:tcPr>
            <w:tcW w:w="11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Net cash provided by operating activities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Net cash provided by operating activities increased by $53.1 million in 2023 compared to 2022, primarily resulting from an increase in our revenue cash collection and interest income earned from our cash and investment portfolio. Our primary uses of cash from operating activities have been selling and marketing expenses, personnel and related overhead costs and other costs related to the provision of our business. We expect cash inflows from operating activities to be affected by revenue collection and interest rate. We expect cash outflows from operating activities to be affected by increases in marketing and increases in personnel costs as we grow our business.</w:t>
      </w:r>
    </w:p>
    <w:p>
      <w:pPr>
        <w:pStyle w:val="TextBody"/>
        <w:bidi w:val="0"/>
        <w:spacing w:lineRule="auto" w:line="300"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bidi w:val="0"/>
        <w:spacing w:before="200" w:after="200"/>
        <w:jc w:val="left"/>
        <w:rPr/>
      </w:pPr>
      <w:r>
        <w:rPr/>
      </w:r>
    </w:p>
    <w:p>
      <w:pPr>
        <w:pStyle w:val="TextBody"/>
        <w:bidi w:val="0"/>
        <w:spacing w:lineRule="auto" w:line="300" w:before="0" w:after="0"/>
        <w:ind w:left="0" w:right="0" w:firstLine="720"/>
        <w:jc w:val="both"/>
        <w:rPr>
          <w:sz w:val="20"/>
        </w:rPr>
      </w:pPr>
      <w:r>
        <w:rPr>
          <w:sz w:val="20"/>
        </w:rPr>
        <w:t>For the year ended December 31, 2023, operating activities provided $83.2 million in cash compared to $30.1 million for the year ended December 31, 2022. The change was primarily resulted of a net income of $75.2 million increase in 2023, $27.6 million decrease in prior year impairment of intangible assets, a decrease of $7.1 million in amortization of premium and accretion of discount on marketable securities, $4.2 million decrease in depreciation and amortization and $3.1 million decrease related to share-based compensation expenses. This decrease was partially offset by a $11.7 million from prior year revaluation of contingent consideration and $8.2 million working capital changes derived mainly from an increase in other receivables, deferred revenue, accrued expenses and other liabilities.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Net cash provided by (used in) investing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Net cash provided by investing activities was $9.8 million for the year ended December 31, 2023, an increase of $24.4 million from ($14.6) million cash used in for the year ended December 31, 2022. The increase primarily resulted from $167.5 million of investments in marketable securities. This was partially offset by a decrease of 142.5 million due to proceeds from maturities of marketable securities a decrease of $46.9 million in bank deposits and restricted deposits, a decrease of $1.4 million in other receivables and non-current assets and a decrease of $1.1 million related to capitalization of internal-use software and acquisition of intangible assets.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Net cash provided by (used in) financing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Net cash provided by financing activities was $2.9 million for the year ended December 31, 2023, an increase of $4.5 million from ($1.6) million cash used in for the year ended December 31, 2022. This increase primarily resulted from a $2.3 million related to prior year repayment of long-term loan, a decrease of $2.1 million in tax withholding in connection with exercises of employees’ share options and vested RSU’s and $1.1 million due to prior year payment of contingent consideration. This was partially offset by a decrease of $1.0 million in proceeds from exercise of share options.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Description of Convertible Notes and Capped Call Transaction Financing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On October 13, 2020, we closed a private offering of $460.0 million principal amount of 0% coupon rate Convertible Senior Notes due 2025, or the Convertible Notes. The Convertible Notes were issued pursuant to an indenture, dated October 13, 2020, or the Indenture, between us and U.S. Bank National Association, as trustee.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Convertible Notes are convertible based upon an initial conversion rate of 4.6823 of our ordinary shares, per $1,000 principal amount of Convertible Notes (equivalent to a conversion price of approximately $213.57 per ordinary share). The conversion rate will be subject to adjustment upon the occurrence of certain specified events but will not be adjusted for accrued and unpaid special interest (as defined in the Indenture), if any. In addition, in connection with a make-whole fundamental change (as defined in the Indenture), or following our delivery of a notice of redemption, we will, in certain circumstances, increase the conversion rate for a holder who elects to convert its notes in connection with such make-whole fundamental change or to convert its Convertible Notes called for redemption in connection with such notice of redemption, as the case may be.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Convertible Notes will not bear regular interest, and the principal amount of the Convertible Notes will not accrete. The Convertible Notes will mature on November 1, 2025, unless earlier repurchased, redeemed or converted. Prior to the close of business on the business day immediately preceding May 1, 2025, a holder may convert all or a portion of its Convertible Notes only under the following circumstances: (1) during any calendar quarter (and only during such calendar quarter), if the last reported sale price of our ordinary shares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10 consecutive trading day period, or the measurement period, in which the trading price per $1,000 principal amount of Convertible Notes for each trading day of the measurement period was less than 98% of the product of the last reported sale price of the ordinary shares and the conversion rate on each such trading day; (3) if we call such Convertible Notes for redemption, at any time prior to the close of business on the third scheduled trading day immediately preceding the related redemption date; or (4) upon the occurrence of specified corporate events. On or after May 1, 2025 until the close of business on the third scheduled trading day immediately preceding the maturity date, holders may convert their Convertible Notes at any time, regardless of the foregoing circumstances. Upon conversion, the Company will pay or deliver, as the case may be, cash, ordinary shares or a combination of cash and ordinary shares, at the Company’s election.</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We may redeem, for cash, all or part of the Convertible Notes, at our option, if the last reported sale price of our ordinary shares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the redemption at a redemption price equal to 100% of the principal amount of the Convertible Notes to be redeemed, plus accrued and unpaid special interest, if any, to, but excluding, the redemption date. Upon the occurrence of a fundamental change (as defined in the Indenture), holders may require us to repurchase for cash all or any portion of their Convertible Notes at a fundamental change repurchase price equal to 100% of the principal amount of the Convertible Notes to be repurchased, plus accrued and unpaid special interest, if any, to, but excluding, the fundamental change repurchase date.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indenture governing the Convertible Notes contains customary terms and covenants, including that upon certain events of default occurring and continuing, either the trustee or the holders of not less than 25% in aggregate principal amount of the Convertible Notes then outstanding may declare the entire principal amount of all the Convertible Notes plus accrued special interest, if any, to be immediately due and payable.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Convertible Notes are our senior unsecured obligations. The Convertible Notes rank senior in right of payment to any of our future indebtedness that is expressly subordinated in right of payment to the Convertible Notes, rank equal in right of payment to our unsecured indebtedness that is not so subordinated, are effectively junior in right of payment to any of our secured indebtedness to the extent of the value of the assets securing such indebtedness and are structurally junior to all existing and future indebtedness and other liabilities (including trade payables) of our subsidiaries.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connection with the issuance of the Convertible Notes, we entered into privately negotiated capped call transactions with certain financial institutions. See Item 3.D. “</w:t>
      </w:r>
      <w:r>
        <w:rPr>
          <w:i/>
          <w:sz w:val="20"/>
        </w:rPr>
        <w:t>Risk Factors—Risks related to our indebtedness and capital structure—The Capped Call Transaction may affect the value of our ordinary shares, and we may be subject to counterparty risk with respect to the Capped Call Transactions.”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0" w:name="zdc006a0555384f9d975087ec2c862ab1"/>
      <w:bookmarkStart w:id="271" w:name="C.5"/>
      <w:bookmarkStart w:id="272" w:name="zdc006a0555384f9d975087ec2c862ab1"/>
      <w:bookmarkStart w:id="273" w:name="C.5"/>
      <w:bookmarkEnd w:id="272"/>
      <w:bookmarkEnd w:id="273"/>
    </w:p>
    <w:tbl>
      <w:tblPr>
        <w:tblW w:w="5860" w:type="dxa"/>
        <w:jc w:val="left"/>
        <w:tblInd w:w="0" w:type="dxa"/>
        <w:tblLayout w:type="fixed"/>
        <w:tblCellMar>
          <w:top w:w="0" w:type="dxa"/>
          <w:left w:w="0" w:type="dxa"/>
          <w:bottom w:w="0" w:type="dxa"/>
          <w:right w:w="0" w:type="dxa"/>
        </w:tblCellMar>
      </w:tblPr>
      <w:tblGrid>
        <w:gridCol w:w="275"/>
        <w:gridCol w:w="5585"/>
      </w:tblGrid>
      <w:tr>
        <w:trPr/>
        <w:tc>
          <w:tcPr>
            <w:tcW w:w="275" w:type="dxa"/>
            <w:tcBorders/>
            <w:vAlign w:val="center"/>
          </w:tcPr>
          <w:p>
            <w:pPr>
              <w:pStyle w:val="TableContents"/>
              <w:bidi w:val="0"/>
              <w:spacing w:before="0" w:after="283"/>
              <w:jc w:val="left"/>
              <w:rPr>
                <w:b/>
              </w:rPr>
            </w:pPr>
            <w:r>
              <w:rPr>
                <w:b/>
              </w:rPr>
              <w:t>C.</w:t>
            </w:r>
          </w:p>
        </w:tc>
        <w:tc>
          <w:tcPr>
            <w:tcW w:w="5585" w:type="dxa"/>
            <w:tcBorders/>
            <w:vAlign w:val="center"/>
          </w:tcPr>
          <w:p>
            <w:pPr>
              <w:pStyle w:val="TableContents"/>
              <w:bidi w:val="0"/>
              <w:spacing w:before="0" w:after="0"/>
              <w:jc w:val="left"/>
              <w:rPr>
                <w:b/>
              </w:rPr>
            </w:pPr>
            <w:r>
              <w:rPr>
                <w:b/>
              </w:rPr>
              <w:t>Research and Development, Patents and Licenses, Etc.</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research and development activities are primarily located in Israel, with additional employees and contractors engaged in research and development activities for us in the US and Ukraine.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Research and development expenses are primarily comprised of costs of our research and development personnel and other development-related expenses. Research and development personnel focus primarily on enhancing our technology, improving our products, and developing new products and solutions. We invest in research and development in order to enhance and expand our product and service offerings, tailor our marketing offering, and expand our registered user base. Our development strategy is focused on identifying updates and enhanced features for our existing offerings, developing new offerings that are tailored to our registered users’ needs and often arise out of their suggestions, and improving the performance of our platform.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2023, research and development costs accounted for approximately 25.1% of our total revenue. Research and development costs are expensed as incurred, except to the extent that such costs are associated with internal-use software that qualifies for capitalization. We believe continued investments in research and development are important to attain our strategic objectives and we expect these costs to grow over time as we grow our business.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4" w:name="z9217cab868444ca78dc9a09619298dc9"/>
      <w:bookmarkStart w:id="275" w:name="D.5"/>
      <w:bookmarkStart w:id="276" w:name="z9217cab868444ca78dc9a09619298dc9"/>
      <w:bookmarkStart w:id="277" w:name="D.5"/>
      <w:bookmarkEnd w:id="276"/>
      <w:bookmarkEnd w:id="277"/>
    </w:p>
    <w:tbl>
      <w:tblPr>
        <w:tblW w:w="2305" w:type="dxa"/>
        <w:jc w:val="left"/>
        <w:tblInd w:w="0" w:type="dxa"/>
        <w:tblLayout w:type="fixed"/>
        <w:tblCellMar>
          <w:top w:w="0" w:type="dxa"/>
          <w:left w:w="0" w:type="dxa"/>
          <w:bottom w:w="0" w:type="dxa"/>
          <w:right w:w="0" w:type="dxa"/>
        </w:tblCellMar>
      </w:tblPr>
      <w:tblGrid>
        <w:gridCol w:w="275"/>
        <w:gridCol w:w="2030"/>
      </w:tblGrid>
      <w:tr>
        <w:trPr/>
        <w:tc>
          <w:tcPr>
            <w:tcW w:w="275" w:type="dxa"/>
            <w:tcBorders/>
            <w:vAlign w:val="center"/>
          </w:tcPr>
          <w:p>
            <w:pPr>
              <w:pStyle w:val="TableContents"/>
              <w:bidi w:val="0"/>
              <w:spacing w:before="0" w:after="283"/>
              <w:jc w:val="left"/>
              <w:rPr>
                <w:b/>
              </w:rPr>
            </w:pPr>
            <w:r>
              <w:rPr>
                <w:b/>
              </w:rPr>
              <w:t>D.</w:t>
            </w:r>
          </w:p>
        </w:tc>
        <w:tc>
          <w:tcPr>
            <w:tcW w:w="2030" w:type="dxa"/>
            <w:tcBorders/>
            <w:vAlign w:val="center"/>
          </w:tcPr>
          <w:p>
            <w:pPr>
              <w:pStyle w:val="TableContents"/>
              <w:bidi w:val="0"/>
              <w:spacing w:before="0" w:after="0"/>
              <w:jc w:val="left"/>
              <w:rPr>
                <w:b/>
              </w:rPr>
            </w:pPr>
            <w:r>
              <w:rPr>
                <w:b/>
              </w:rPr>
              <w:t>Trend Information.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 xml:space="preserve">Adverse macroeconomic conditions, including recent inflation, slower growth, changes to fiscal and monetary policy, higher interest rates, and currency fluctuations have impacted companies in Israel and around the world, and as the future market conditions and possible recession remain highly uncertain, we cannot predict severity of the possible recession and its effects on our customers and their spending habits. See also </w:t>
      </w:r>
      <w:r>
        <w:rPr>
          <w:i w:val="false"/>
          <w:caps w:val="false"/>
          <w:smallCaps w:val="false"/>
          <w:sz w:val="20"/>
        </w:rPr>
        <w:t>Item 3.D.</w:t>
      </w:r>
      <w:r>
        <w:rPr>
          <w:i/>
          <w:sz w:val="20"/>
        </w:rPr>
        <w:t xml:space="preserve"> “Risk Factors” – Adverse economic conditions can materially adversely affect the Company’s business, results of operations and financial condition, due to impacts on consumer and business spending and demand for our services.”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8" w:name="zf352b6af71d44e9bb0db9d376bad0c1f"/>
      <w:bookmarkStart w:id="279" w:name="E.5"/>
      <w:bookmarkStart w:id="280" w:name="zf352b6af71d44e9bb0db9d376bad0c1f"/>
      <w:bookmarkStart w:id="281" w:name="E.5"/>
      <w:bookmarkEnd w:id="280"/>
      <w:bookmarkEnd w:id="281"/>
    </w:p>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283"/>
              <w:jc w:val="left"/>
              <w:rPr>
                <w:b/>
              </w:rPr>
            </w:pPr>
            <w:r>
              <w:rPr>
                <w:b/>
              </w:rPr>
              <w:t>E.</w:t>
            </w:r>
          </w:p>
        </w:tc>
        <w:tc>
          <w:tcPr>
            <w:tcW w:w="3065" w:type="dxa"/>
            <w:tcBorders/>
            <w:vAlign w:val="center"/>
          </w:tcPr>
          <w:p>
            <w:pPr>
              <w:pStyle w:val="TableContents"/>
              <w:bidi w:val="0"/>
              <w:spacing w:before="0" w:after="0"/>
              <w:jc w:val="left"/>
              <w:rPr>
                <w:b/>
              </w:rPr>
            </w:pPr>
            <w:r>
              <w:rPr>
                <w:b/>
              </w:rPr>
              <w:t>Critical Accounting Estimates</w:t>
            </w:r>
          </w:p>
        </w:tc>
      </w:tr>
    </w:tbl>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Application of critical accounting estimates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significant accounting estimates and their effect on our financial condition and results of operations are more fully described in our audited consolidated financial statements included elsewhere in this Annual Report. We have prepared our financial statements in conformity with GAAP, which requires management to make estimates and assumptions that affect the amounts reported in our consolidated financial statements and accompanying notes. These estimates are prepared using our best judgment, after considering past and current events and economic conditions. While management believes the factors evaluated provide a meaningful basis for establishing and applying sound accounting policies, management cannot guarantee that the estimates will always be consistent with actual results. In addition, certain information relied upon by us in preparing such estimates includes internally generated financial and operating information, external market information, when available, and when necessary, information obtained from consultations with third-parties. Actual results may differ from these estimates. See Item 3.D. “</w:t>
      </w:r>
      <w:r>
        <w:rPr>
          <w:i/>
          <w:sz w:val="20"/>
        </w:rPr>
        <w:t>Risk Factors”</w:t>
      </w:r>
      <w:r>
        <w:rPr>
          <w:sz w:val="20"/>
        </w:rPr>
        <w:t xml:space="preserve"> for a discussion of the possible risks that may affect these estimates.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We believe that the accounting estimates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 The critical accounting estimates that we believe have the most significant impact on our consolidated financial statements are discussed below.</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Revenue recognition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customers are the users on our platform. A contract with a customer exists only when: the parties to the contract have approved it and are committed to perform their respective obligations, we can identify each party’s rights regarding the distinct performance obligations, we can determine the transaction price for the performance obligations to be transferred, the contract has commercial substance and it is probable that we will collect the consideration to which we will be entitled in exchange for the performance obligation that will be transferred to the customer.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Revenues are recorded in the amount of consideration to which we expect to be entitled in exchange for performance obligations upon transfer of control to the customer, excluding amounts collected on behalf of other third parties and indirect taxes. Our revenue is primarily comprised of one distinct performance obligation which is to arrange services to be provided on our marketplace platform by the sellers to the buyers. We earn transaction fees and service fees that are based on the total value of transactions ordered through the platform once the customer obtains control of the service, which occurs at a point in time upon completion of each order.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Revenue is mainly recognized on a net basis since we concluded that we act as an agent on our platform, mainly since we do not take responsibility for the sellers’ services and therefore, we are not primarily responsible for fulfilling the promise to provide the service and we do not have discretion in price establishment. Therefore, we do not obtain control of the services before they are transferred to the customer.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recognize the incremental costs of obtaining contracts as an expense since the amortization period of the assets that we otherwise would have recognized is one year or less. Similarly, we do not disclose the value of unsatisfied performance obligations since the original expected duration of the contracts is one year or less.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recognize revenue from unused user accounts balances once the likelihood of the users exercising their unused accounts balances becomes remote and we are not required to remit such unused account balance to a third party in accordance with applicable unclaimed property laws. The amounts recognized for the years ended December 31, 2023 and 2022 were immaterial.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Revenue from subscriptions including our content marketing platform, on-line learning platform, creative talent platform and back office platform are mainly recognized over time when the service is rendered to the customer. Revenue from our freelancer management platform is recognized at a point time upon the management service is rendered.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contract liabilities mainly consist of deferred revenues from transaction and service fees received in advance for services for which control has not been yet obtained by the customers.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Business combinations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results of an acquired business in a business combination are included in our consolidated financial statements from the date of acquisition according to the guidance of ASC Topic 805, “Business Combinations.” We allocate the purchase price, which is the sum of the consideration provided and may consist of cash, equity or a combination of the two, to the identifiable assets and liabilities of the acquired business at their fair values as of the acquisition date. The excess of the purchase price over the amount allocated to the identifiable assets and liabilities, if any, is recorded as goodwill.</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The estimated fair values and useful lives of identifiable intangible assets are based on many factors, including estimates and assumptions of future operating performance and cash flows of the acquired business, the nature of the business acquired and the specific characteristics of the identified intangible assets. The estimates and assumptions used to determine the fair values and useful lives of identified intangible assets could change due to numerous factors, including market conditions, technological developments, economic conditions and competition.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Contingent consideration incurred in a business combination is included as part of the acquisition price and recorded at a probability weighted assessment of the fair value as of the acquisition date. The fair value of the contingent consideration is re-measured at each reporting period, with any adjustments in fair value recognized in earnings under general and administrative expenses.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Acquisition related costs incurred by us are not included as a component of consideration transferred but are accounted for as an expense in the period in which the costs are incurred.</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Goodwill and other Intangible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Goodwill and other purchased intangible assets have been recorded in our financial statements as a result of business combinations.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Goodwill represents the excess of the aggregate fair value of the consideration transferred in a business combination over the fair value of the assets acquired, net of liabilities assumed. Under ASC Topic 350, “Intangible—Goodwill and other,” goodwill is not amortized, but rather is subject to an impairment test. ASC 350 allows an entity to first assess qualitative factors to determine whether it is necessary to perform the two-step quantitative goodwill impairment test. If the qualitative assessment does not result in a more likely than not indication of impairment, no further impairment testing is required. If it does result in a more likely than not indication of impairment, the two-step impairment test is performed. Alternatively, ASC 350 permits an entity to bypass the qualitative assessment for any reporting unit and proceed directly to performing the first step of the goodwill impairment test. We operate in one reporting segment, and this segment comprises our only reporting unit. We elected to perform an annual impairment test of goodwill as of October 1st of each year, or more frequently if impairment indicators are present.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Due to the adverse change in macro-economic conditions mentioned in note 2k we performed an additional goodwill impairment test as of June 30, 2022.</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 Goodwill impairment was recorded for the year ended December 31, 2023.</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Intangible assets that are considered to have definite useful life are amortized using the straight-line basis over their estimated useful lives, which ranges from 2 to 10 years. Intangible assets that are considered to have definite useful life are tested for impairment in accordance with ASC Topic 360, “Property, Plant and Equipment” whenever events or changes in circumstances indicate that the carrying amount of an asset may not be recoverable. Our evaluation of recoverability is performed at the lowest level to which identifiable cash flows are largely independent of the cash flows of other assets and liabilities, and represent an asset group. Recoverability of this asset group is measured by a comparison of the aggregate undiscounted projections of future cash flows the asset group is expected to generate to the carrying amounts of the asset group. If such evaluation indicates that the carrying amount of the asset group is not recoverable, an impairment is measured by the amount which the carrying amount of the asset group exceeds their fair value.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During the second quarter of 2022 due to an adverse change in macroeconomic conditions we recorded an impairment of intangible assets in the amount of $27.6 million mainly in connection with the asset group related to Stoke acquisition, asset group related to CreativeLive acquisition and internal use software capitalization. In determining the estimated fair value of the asset group, we utilized a discounted cash flow model. The key assumptions within the model related to forecasting of future revenue, appropriate discount rate and appropriate terminal value based on the nature of the asset group.</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 impairment of intangible assets was recorded for the year ended December 31, 2023.</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 xml:space="preserve">Item 6. </w:t>
      </w:r>
      <w:bookmarkStart w:id="282" w:name="Item6."/>
      <w:bookmarkEnd w:id="282"/>
      <w:r>
        <w:rPr>
          <w:b/>
          <w:sz w:val="20"/>
        </w:rPr>
        <w:t>Directors, Senior Management and Employees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3" w:name="z62f0e8e461f74789bd18e39b778f7b35"/>
      <w:bookmarkStart w:id="284" w:name="A.6"/>
      <w:bookmarkStart w:id="285" w:name="z62f0e8e461f74789bd18e39b778f7b35"/>
      <w:bookmarkStart w:id="286" w:name="A.6"/>
      <w:bookmarkEnd w:id="285"/>
      <w:bookmarkEnd w:id="286"/>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left"/>
              <w:rPr>
                <w:b/>
              </w:rPr>
            </w:pPr>
            <w:r>
              <w:rPr>
                <w:b/>
              </w:rPr>
              <w:t>A.</w:t>
            </w:r>
          </w:p>
        </w:tc>
        <w:tc>
          <w:tcPr>
            <w:tcW w:w="3545" w:type="dxa"/>
            <w:tcBorders/>
            <w:vAlign w:val="center"/>
          </w:tcPr>
          <w:p>
            <w:pPr>
              <w:pStyle w:val="TableContents"/>
              <w:bidi w:val="0"/>
              <w:spacing w:before="0" w:after="0"/>
              <w:jc w:val="left"/>
              <w:rPr>
                <w:b/>
              </w:rPr>
            </w:pPr>
            <w:r>
              <w:rPr>
                <w:b/>
              </w:rPr>
              <w:t>Directors and Senior Management</w:t>
            </w:r>
          </w:p>
        </w:tc>
      </w:tr>
    </w:tbl>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Executive Officers and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table presents information about our current executive officers and directors as of February 15, 2024:</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87" w:name="z0cbdb545b04a48829392a990213d698e"/>
      <w:bookmarkStart w:id="288" w:name="z0cbdb545b04a48829392a990213d698e"/>
      <w:bookmarkEnd w:id="288"/>
    </w:p>
    <w:tbl>
      <w:tblPr>
        <w:tblW w:w="7990" w:type="dxa"/>
        <w:jc w:val="left"/>
        <w:tblInd w:w="0" w:type="dxa"/>
        <w:tblLayout w:type="fixed"/>
        <w:tblCellMar>
          <w:top w:w="0" w:type="dxa"/>
          <w:left w:w="0" w:type="dxa"/>
          <w:bottom w:w="28" w:type="dxa"/>
          <w:right w:w="0" w:type="dxa"/>
        </w:tblCellMar>
      </w:tblPr>
      <w:tblGrid>
        <w:gridCol w:w="1835"/>
        <w:gridCol w:w="60"/>
        <w:gridCol w:w="6095"/>
      </w:tblGrid>
      <w:tr>
        <w:trPr/>
        <w:tc>
          <w:tcPr>
            <w:tcW w:w="1835" w:type="dxa"/>
            <w:tcBorders>
              <w:bottom w:val="single" w:sz="12" w:space="0" w:color="000000"/>
            </w:tcBorders>
            <w:vAlign w:val="center"/>
          </w:tcPr>
          <w:p>
            <w:pPr>
              <w:pStyle w:val="TableContents"/>
              <w:bidi w:val="0"/>
              <w:spacing w:lineRule="auto" w:line="300" w:before="0" w:after="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6095" w:type="dxa"/>
            <w:tcBorders>
              <w:bottom w:val="single" w:sz="12" w:space="0" w:color="000000"/>
            </w:tcBorders>
            <w:vAlign w:val="center"/>
          </w:tcPr>
          <w:p>
            <w:pPr>
              <w:pStyle w:val="TableContents"/>
              <w:bidi w:val="0"/>
              <w:spacing w:lineRule="auto" w:line="300" w:before="0" w:after="0"/>
              <w:jc w:val="center"/>
              <w:rPr>
                <w:b/>
              </w:rPr>
            </w:pPr>
            <w:r>
              <w:rPr>
                <w:b/>
              </w:rPr>
              <w:t>Position</w:t>
            </w:r>
          </w:p>
        </w:tc>
      </w:tr>
      <w:tr>
        <w:trPr/>
        <w:tc>
          <w:tcPr>
            <w:tcW w:w="1835" w:type="dxa"/>
            <w:tcBorders/>
            <w:shd w:fill="CCEEFF" w:val="clear"/>
            <w:tcMar>
              <w:bottom w:w="0" w:type="dxa"/>
            </w:tcMar>
            <w:vAlign w:val="center"/>
          </w:tcPr>
          <w:p>
            <w:pPr>
              <w:pStyle w:val="TableContents"/>
              <w:bidi w:val="0"/>
              <w:spacing w:lineRule="auto" w:line="300" w:before="0" w:after="0"/>
              <w:jc w:val="left"/>
              <w:rPr>
                <w:b/>
                <w:i/>
              </w:rPr>
            </w:pPr>
            <w:r>
              <w:rPr>
                <w:b/>
                <w:i/>
              </w:rPr>
              <w:t>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lineRule="auto" w:line="300" w:before="0" w:after="0"/>
              <w:jc w:val="left"/>
              <w:rPr/>
            </w:pPr>
            <w:r>
              <w:rPr/>
              <w:t>Micha Kaufman</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lineRule="auto" w:line="300" w:before="0" w:after="0"/>
              <w:jc w:val="left"/>
              <w:rPr/>
            </w:pPr>
            <w:r>
              <w:rPr/>
              <w:t>Co-Founder, Chief Executive Officer, Chairperson of the Board</w:t>
            </w:r>
          </w:p>
        </w:tc>
      </w:tr>
      <w:tr>
        <w:trPr/>
        <w:tc>
          <w:tcPr>
            <w:tcW w:w="1835" w:type="dxa"/>
            <w:tcBorders/>
            <w:shd w:fill="CCEEFF" w:val="clear"/>
            <w:tcMar>
              <w:bottom w:w="0" w:type="dxa"/>
            </w:tcMar>
            <w:vAlign w:val="center"/>
          </w:tcPr>
          <w:p>
            <w:pPr>
              <w:pStyle w:val="TableContents"/>
              <w:bidi w:val="0"/>
              <w:spacing w:lineRule="auto" w:line="300" w:before="0" w:after="0"/>
              <w:jc w:val="left"/>
              <w:rPr/>
            </w:pPr>
            <w:r>
              <w:rPr/>
              <w:t>Ofer Katz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lineRule="auto" w:line="300" w:before="0" w:after="0"/>
              <w:jc w:val="left"/>
              <w:rPr/>
            </w:pPr>
            <w:r>
              <w:rPr/>
              <w:t>President and Chief Financial Officer</w:t>
            </w:r>
          </w:p>
        </w:tc>
      </w:tr>
      <w:tr>
        <w:trPr/>
        <w:tc>
          <w:tcPr>
            <w:tcW w:w="1835" w:type="dxa"/>
            <w:tcBorders/>
            <w:tcMar>
              <w:bottom w:w="0" w:type="dxa"/>
            </w:tcMar>
            <w:vAlign w:val="center"/>
          </w:tcPr>
          <w:p>
            <w:pPr>
              <w:pStyle w:val="TableContents"/>
              <w:bidi w:val="0"/>
              <w:spacing w:lineRule="auto" w:line="300" w:before="0" w:after="0"/>
              <w:jc w:val="left"/>
              <w:rPr/>
            </w:pPr>
            <w:r>
              <w:rPr/>
              <w:t>Hila Klein</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lineRule="auto" w:line="300" w:before="0" w:after="0"/>
              <w:jc w:val="left"/>
              <w:rPr/>
            </w:pPr>
            <w:r>
              <w:rPr/>
              <w:t>Chief Operating Officer</w:t>
            </w:r>
          </w:p>
        </w:tc>
      </w:tr>
      <w:tr>
        <w:trPr/>
        <w:tc>
          <w:tcPr>
            <w:tcW w:w="1835" w:type="dxa"/>
            <w:tcBorders/>
            <w:shd w:fill="CCEEFF" w:val="clear"/>
            <w:tcMar>
              <w:bottom w:w="0" w:type="dxa"/>
            </w:tcMar>
            <w:vAlign w:val="center"/>
          </w:tcPr>
          <w:p>
            <w:pPr>
              <w:pStyle w:val="TableContents"/>
              <w:bidi w:val="0"/>
              <w:spacing w:lineRule="auto" w:line="300" w:before="0" w:after="0"/>
              <w:jc w:val="left"/>
              <w:rPr/>
            </w:pPr>
            <w:r>
              <w:rPr/>
              <w:t>Gali Arnon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lineRule="auto" w:line="300" w:before="0" w:after="0"/>
              <w:jc w:val="left"/>
              <w:rPr/>
            </w:pPr>
            <w:r>
              <w:rPr/>
              <w:t>Chief Business Officer, Marketplace</w:t>
            </w:r>
          </w:p>
        </w:tc>
      </w:tr>
      <w:tr>
        <w:trPr/>
        <w:tc>
          <w:tcPr>
            <w:tcW w:w="1835" w:type="dxa"/>
            <w:tcBorders/>
            <w:tcMar>
              <w:bottom w:w="0" w:type="dxa"/>
            </w:tcMar>
            <w:vAlign w:val="center"/>
          </w:tcPr>
          <w:p>
            <w:pPr>
              <w:pStyle w:val="TableContents"/>
              <w:bidi w:val="0"/>
              <w:spacing w:lineRule="auto" w:line="300" w:before="0" w:after="0"/>
              <w:jc w:val="left"/>
              <w:rPr/>
            </w:pPr>
            <w:r>
              <w:rPr/>
              <w:t>Matti Yahav</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lineRule="auto" w:line="300" w:before="0" w:after="0"/>
              <w:jc w:val="left"/>
              <w:rPr/>
            </w:pPr>
            <w:r>
              <w:rPr/>
              <w:t>Chief Marketing Officer</w:t>
            </w:r>
          </w:p>
        </w:tc>
      </w:tr>
      <w:tr>
        <w:trPr/>
        <w:tc>
          <w:tcPr>
            <w:tcW w:w="1835" w:type="dxa"/>
            <w:tcBorders/>
            <w:shd w:fill="CCEEFF" w:val="clear"/>
            <w:tcMar>
              <w:bottom w:w="0" w:type="dxa"/>
            </w:tcMar>
            <w:vAlign w:val="center"/>
          </w:tcPr>
          <w:p>
            <w:pPr>
              <w:pStyle w:val="TableContents"/>
              <w:bidi w:val="0"/>
              <w:spacing w:lineRule="auto" w:line="300" w:before="0" w:after="0"/>
              <w:jc w:val="left"/>
              <w:rPr/>
            </w:pPr>
            <w:r>
              <w:rPr/>
              <w:t>Sharon Steiner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lineRule="auto" w:line="300" w:before="0" w:after="0"/>
              <w:jc w:val="left"/>
              <w:rPr/>
            </w:pPr>
            <w:r>
              <w:rPr/>
              <w:t>Chief Human Resources Officer</w:t>
            </w:r>
          </w:p>
        </w:tc>
      </w:tr>
      <w:tr>
        <w:trPr/>
        <w:tc>
          <w:tcPr>
            <w:tcW w:w="18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lineRule="auto" w:line="300" w:before="0" w:after="0"/>
              <w:jc w:val="left"/>
              <w:rPr>
                <w:b/>
                <w:i/>
              </w:rPr>
            </w:pPr>
            <w:r>
              <w:rPr>
                <w:b/>
                <w:i/>
              </w:rPr>
              <w:t>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lineRule="auto" w:line="300" w:before="0" w:after="0"/>
              <w:jc w:val="left"/>
              <w:rPr/>
            </w:pPr>
            <w:r>
              <w:rPr/>
              <w:t>Adam Fisher</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lineRule="auto" w:line="300" w:before="0" w:after="0"/>
              <w:jc w:val="left"/>
              <w:rPr/>
            </w:pPr>
            <w:r>
              <w:rPr/>
              <w:t>Director</w:t>
            </w:r>
          </w:p>
        </w:tc>
      </w:tr>
      <w:tr>
        <w:trPr/>
        <w:tc>
          <w:tcPr>
            <w:tcW w:w="1835" w:type="dxa"/>
            <w:tcBorders/>
            <w:shd w:fill="CCEEFF" w:val="clear"/>
            <w:tcMar>
              <w:bottom w:w="0" w:type="dxa"/>
            </w:tcMar>
            <w:vAlign w:val="center"/>
          </w:tcPr>
          <w:p>
            <w:pPr>
              <w:pStyle w:val="TableContents"/>
              <w:bidi w:val="0"/>
              <w:spacing w:lineRule="auto" w:line="300" w:before="0" w:after="0"/>
              <w:jc w:val="left"/>
              <w:rPr/>
            </w:pPr>
            <w:r>
              <w:rPr/>
              <w:t>Yael Garten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lineRule="auto" w:line="300" w:before="0" w:after="0"/>
              <w:jc w:val="left"/>
              <w:rPr/>
            </w:pPr>
            <w:r>
              <w:rPr/>
              <w:t>Director</w:t>
            </w:r>
          </w:p>
        </w:tc>
      </w:tr>
      <w:tr>
        <w:trPr/>
        <w:tc>
          <w:tcPr>
            <w:tcW w:w="1835" w:type="dxa"/>
            <w:tcBorders/>
            <w:tcMar>
              <w:bottom w:w="0" w:type="dxa"/>
            </w:tcMar>
            <w:vAlign w:val="center"/>
          </w:tcPr>
          <w:p>
            <w:pPr>
              <w:pStyle w:val="TableContents"/>
              <w:bidi w:val="0"/>
              <w:spacing w:lineRule="auto" w:line="300" w:before="0" w:after="0"/>
              <w:jc w:val="left"/>
              <w:rPr/>
            </w:pPr>
            <w:r>
              <w:rPr/>
              <w:t>Ron Gutler</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lineRule="auto" w:line="300" w:before="0" w:after="0"/>
              <w:jc w:val="left"/>
              <w:rPr/>
            </w:pPr>
            <w:r>
              <w:rPr/>
              <w:t>Director</w:t>
            </w:r>
          </w:p>
        </w:tc>
      </w:tr>
      <w:tr>
        <w:trPr/>
        <w:tc>
          <w:tcPr>
            <w:tcW w:w="1835" w:type="dxa"/>
            <w:tcBorders/>
            <w:shd w:fill="CCEEFF" w:val="clear"/>
            <w:tcMar>
              <w:bottom w:w="0" w:type="dxa"/>
            </w:tcMar>
            <w:vAlign w:val="center"/>
          </w:tcPr>
          <w:p>
            <w:pPr>
              <w:pStyle w:val="TableContents"/>
              <w:bidi w:val="0"/>
              <w:spacing w:lineRule="auto" w:line="300" w:before="0" w:after="0"/>
              <w:jc w:val="left"/>
              <w:rPr/>
            </w:pPr>
            <w:r>
              <w:rPr/>
              <w:t>Gili Iohan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lineRule="auto" w:line="300" w:before="0" w:after="0"/>
              <w:jc w:val="left"/>
              <w:rPr/>
            </w:pPr>
            <w:r>
              <w:rPr/>
              <w:t>Director</w:t>
            </w:r>
          </w:p>
        </w:tc>
      </w:tr>
      <w:tr>
        <w:trPr/>
        <w:tc>
          <w:tcPr>
            <w:tcW w:w="1835" w:type="dxa"/>
            <w:tcBorders/>
            <w:tcMar>
              <w:bottom w:w="0" w:type="dxa"/>
            </w:tcMar>
            <w:vAlign w:val="center"/>
          </w:tcPr>
          <w:p>
            <w:pPr>
              <w:pStyle w:val="TableContents"/>
              <w:bidi w:val="0"/>
              <w:spacing w:lineRule="auto" w:line="300" w:before="0" w:after="0"/>
              <w:jc w:val="left"/>
              <w:rPr/>
            </w:pPr>
            <w:r>
              <w:rPr/>
              <w:t>Jonathan Kolber</w:t>
            </w:r>
          </w:p>
        </w:tc>
        <w:tc>
          <w:tcPr>
            <w:tcW w:w="60" w:type="dxa"/>
            <w:tcBorders/>
            <w:tcMar>
              <w:bottom w:w="0" w:type="dxa"/>
            </w:tcMar>
            <w:vAlign w:val="center"/>
          </w:tcPr>
          <w:p>
            <w:pPr>
              <w:pStyle w:val="TableContents"/>
              <w:bidi w:val="0"/>
              <w:spacing w:before="0" w:after="283"/>
              <w:jc w:val="left"/>
              <w:rPr/>
            </w:pPr>
            <w:r>
              <w:rPr/>
              <w:t> </w:t>
            </w:r>
          </w:p>
        </w:tc>
        <w:tc>
          <w:tcPr>
            <w:tcW w:w="6095" w:type="dxa"/>
            <w:tcBorders/>
            <w:tcMar>
              <w:bottom w:w="0" w:type="dxa"/>
            </w:tcMar>
            <w:vAlign w:val="center"/>
          </w:tcPr>
          <w:p>
            <w:pPr>
              <w:pStyle w:val="TableContents"/>
              <w:bidi w:val="0"/>
              <w:spacing w:lineRule="auto" w:line="300" w:before="0" w:after="0"/>
              <w:jc w:val="left"/>
              <w:rPr/>
            </w:pPr>
            <w:r>
              <w:rPr/>
              <w:t>Director</w:t>
            </w:r>
          </w:p>
        </w:tc>
      </w:tr>
      <w:tr>
        <w:trPr/>
        <w:tc>
          <w:tcPr>
            <w:tcW w:w="1835" w:type="dxa"/>
            <w:tcBorders/>
            <w:shd w:fill="CCEEFF" w:val="clear"/>
            <w:tcMar>
              <w:bottom w:w="0" w:type="dxa"/>
            </w:tcMar>
            <w:vAlign w:val="center"/>
          </w:tcPr>
          <w:p>
            <w:pPr>
              <w:pStyle w:val="TableContents"/>
              <w:bidi w:val="0"/>
              <w:spacing w:lineRule="auto" w:line="300" w:before="0" w:after="0"/>
              <w:jc w:val="left"/>
              <w:rPr/>
            </w:pPr>
            <w:r>
              <w:rPr/>
              <w:t>Nir Zohar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lineRule="auto" w:line="300" w:before="0" w:after="0"/>
              <w:jc w:val="left"/>
              <w:rPr/>
            </w:pPr>
            <w:r>
              <w:rPr/>
              <w:t>Director</w:t>
            </w:r>
          </w:p>
        </w:tc>
      </w:tr>
    </w:tbl>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Executive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Micha Kaufman</w:t>
      </w:r>
      <w:r>
        <w:rPr>
          <w:sz w:val="20"/>
        </w:rPr>
        <w:t>, our Co-Founder, has served as our Chief Executive Officer and as a member of our board of directors since our inception and currently also serves as Chairperson of our board of directors. Prior to co-founding Fiverr, Mr. Kaufman founded and led several technology ventures. Mr. Kaufman has served as a member of the Advisory Board of Cerca Partners LP, a venture capital firm, since November 2016. Mr. Kaufman holds an LL.B degree from Haifa University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Ofer Katz</w:t>
      </w:r>
      <w:r>
        <w:rPr>
          <w:sz w:val="20"/>
        </w:rPr>
        <w:t xml:space="preserve"> has served as our President since February 2021, as our Chief Financial Officer since July 2017 and as our Chief Financial Officer under a consulting contract from February 2011 to June 2017. Prior to joining us, Mr. Katz founded Nextage Ltd., a financial services firm, in 2001 where he served as Chief Executive Officer from 2001 to 2016 and currently serves as Co-Chief Executive Officer. As Chief Executive Officer of Nextage, Mr. Katz served as acting Chief Financial Officer to a number of companies including Wix.com Ltd., Adallom Technologies Ltd. (acquired by Microsoft Corporation), Wilocity (acquired by Qualcomm Incorporated) and Onavo (acquired by Facebook, Inc.). Mr. Katz holds a B.A. from Tel Aviv University in Israel.</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i/>
          <w:sz w:val="20"/>
        </w:rPr>
        <w:t>Hila Klein</w:t>
      </w:r>
      <w:r>
        <w:rPr>
          <w:sz w:val="20"/>
        </w:rPr>
        <w:t xml:space="preserve"> has served as our Chief Operating Officer since January 2019. Prior to joining us, Ms. Klein spent approximately fifteen years at 888 Holdings Plc, serving in various roles including Director of House Gaming and Vice President, Casino &amp; Bingo. Most recently at 888 Holdings, she served as Senior Vice President, Head of Product Technologies Division from April 2011 through December 2018. Ms. Klein holds a BS.c in Industrial Engineering from the Technion — Israel Institute of Technology.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Gali Arnon </w:t>
      </w:r>
      <w:r>
        <w:rPr>
          <w:sz w:val="20"/>
        </w:rPr>
        <w:t>has served as our Chief Business Officer since November 2023. Prior to that she was our Chief Marketing Officer since October 2017. Prior to joining us, Ms. Arnon served as Chief Executive Officer of Brightcom Group Ltd, a digital marketing and publicly traded company in India, from 2015 to 2017. Between 2014 and 2015, Ms. Arnon was Senior Vice President of Marketing and Operations at SimilarWeb Ltd., a web analytics company. Prior to that, she served in multiple vice president roles at 888 Holdings Plc, an online gaming platform and publicly traded company in London, from 2009 to 2014. Ms. Arnon holds a B.A. and M.B.A. from Tel Aviv University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Matti Yahav</w:t>
      </w:r>
      <w:r>
        <w:rPr>
          <w:sz w:val="20"/>
        </w:rPr>
        <w:t xml:space="preserve"> has served as our Chief Marketing Officer since November 2023. Matti brings with him over 20 years of marketing experience to Fiverr. He has worked with some of the world’s most recognizable brands, including Lego, Disney, Nestle, and SodaStream. During his time at SodaStream (NASDAQ: PEP), Matti spent over seven years on the Global Management Team, five of which were as CMO.</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Sharon Steiner</w:t>
      </w:r>
      <w:r>
        <w:rPr>
          <w:sz w:val="20"/>
        </w:rPr>
        <w:t xml:space="preserve"> has served as our Chief Human Resources Officer since January 2020. Ms. Steiner joined us as a Human Resources Director in May 2012 and was promoted to our VP Human Resources in August 2014. Prior to joining us Ms. Steiner served in various human resources roles, including at Amdocs Ltd., KarmelSonix, Marvell Technology Group Ltd. and IBM Corporation. Ms. Steiner holds a B.A. from Haifa University in Israel.</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Adam Fisher </w:t>
      </w:r>
      <w:r>
        <w:rPr>
          <w:sz w:val="20"/>
        </w:rPr>
        <w:t>has served as a member of our board of directors since January 2011. Since 2007, Mr. Fisher has served as a Partner at Bessemer Venture Partners, a venture capital firm, and he is the founder of the firm’s investment practice in Tel Aviv, Israel. From 1998 to 2007, Mr. Fisher was a Partner at Jerusalem Venture Partners, a venture capital firm based in Israel. Mr. Fisher currently serves as a member of the board of directors of several Bessemer Venture Partners portfolio companies and previously served on the board of directors of Wix.com Ltd. from 2007 to 2016. Mr. Fisher holds a B.S.F.S. from Georgetown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Yael Garten</w:t>
      </w:r>
      <w:r>
        <w:rPr>
          <w:sz w:val="20"/>
        </w:rPr>
        <w:t xml:space="preserve"> has served as a member of our board of directors since October 2023. She brings extensive experience in data science, machine learning, and converting data into actionable product and business strategy. She serves on the Levi Strauss &amp; Co. board of directors since 2020 and is a member of its audit committee and nominating, governance and corporate citizenship committee. Dr. Garten was the AI/ML Director of Data Science and Engineering at Apple from 2017 to 2023. Prior to that, from 2011 to 2017 she worked in a number of positions at LinkedIn Corporation and most recently was Director of Data Science from 2015 until 2017. Before joining LinkedIn, Dr. Garten was a Research Scientist and Text Mining Lead at the Stanford University School of Medicine. She holds a PhD in Biomedical Informatics from the Stanford University School of Medicine, an M.Sc. in Bioinformatics from the Weizmann Institute of Science, Israel, and a B.Sc. in Computational Biology from Bar-Ilan University,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Ron Gutler </w:t>
      </w:r>
      <w:r>
        <w:rPr>
          <w:sz w:val="20"/>
        </w:rPr>
        <w:t>has served as a member of our board of directors since April 2019 and as a Lead Independent Director since May 2021. From May 2002 through February 2013, Mr. Gutler served as the Chairperson of NICE Systems Ltd., a public company specializing in voice recognition, data security and surveillance. Between 2000 and 2011, Mr. Gutler served as the Chairperson of G.J.E. 121 Promoting Investments Ltd., a real estate company. Mr. Gutler is a former Managing Director and Partner of Bankers Trust Company, which is currently part of Deutsche Bank. Mr. Gutler currently serves on the board of directors of Wix.com Ltd., CyberArk Software Ltd., Walkme Ltd. and several private companies. Mr. Gutler holds a B.A. and an M.B.A. from the Hebrew University of Jerusalem.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Gili Iohan </w:t>
      </w:r>
      <w:r>
        <w:rPr>
          <w:sz w:val="20"/>
        </w:rPr>
        <w:t>has served as a member of our board of directors since April 2019. Ms. Iohan is currently a Partner at ION Crossover Partners, an Israeli based cross-over fund. Ms. Iohan previously served as Chief Financial Officer of Varonis Systems, Inc., responsible for the company’s finance, accounting and back office operations, from 2005 to April 2017. Prior to that, she was a Partner for six years at Nextage Ltd., a financial services advisory firm. Ms. Iohan currently serves on the board of directors of Varonis Systems, Inc., Monday.com Ltd. and Similarweb Ltd. Ms. Iohan holds a B.A. and an M.B.A. from Tel Aviv University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 xml:space="preserve">Jonathan Kolber </w:t>
      </w:r>
      <w:r>
        <w:rPr>
          <w:sz w:val="20"/>
        </w:rPr>
        <w:t>has served as a member of our board of directors since June 2019. Mr. Kolber currently serves as a Chairman of ION Asset Management and Chairman and CEO of Anfield Ltd., his family owned investment company. From 2007 until 2021, Mr. Kolber served as a General Partner at Viola Growth, a technology growth capital fund. Prior to that, he served as Chief Executive Officer of Koor Industries Ltd., an industrial holding company, from 1998 to 2006. Mr. Kolber also currently serves as a member of the board of directors of Viola Growth portfolio companies and several other private companies. Mr. Kolber holds a B.A. from Harvard University.</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i/>
          <w:sz w:val="20"/>
        </w:rPr>
        <w:t xml:space="preserve">Nir Zohar </w:t>
      </w:r>
      <w:r>
        <w:rPr>
          <w:sz w:val="20"/>
        </w:rPr>
        <w:t>has served as a member of our board of directors since January 2014. Mr. Zohar has served as President of Wix.com Ltd. since 2013 and as Chief Operating Officer of Wix.com Ltd. since 2008. Prior to that, Mr. Zohar served as the Budget and Production Manager of M.B. Contact Ltd., a private Israeli event production company, between 2005 and 2007.</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There are no family relationships among any of our executive officers or directors.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sz w:val="20"/>
        </w:rPr>
      </w:pPr>
      <w:r>
        <w:rPr>
          <w:sz w:val="20"/>
        </w:rPr>
        <w:t>There are no arrangements or understandings with major shareholders, customers, suppliers or others, pursuant to which any person referred to above was selected as a director or member of senior management.</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bidi w:val="0"/>
        <w:spacing w:before="200" w:after="200"/>
        <w:jc w:val="left"/>
        <w:rPr/>
      </w:pPr>
      <w:r>
        <w:rPr/>
      </w:r>
    </w:p>
    <w:p>
      <w:pPr>
        <w:pStyle w:val="TextBody"/>
        <w:bidi w:val="0"/>
        <w:spacing w:before="0" w:after="0"/>
        <w:jc w:val="left"/>
        <w:rPr/>
      </w:pPr>
      <w:r>
        <w:rPr/>
      </w:r>
      <w:bookmarkStart w:id="289" w:name="z55777cfe505742119ca28fc9ac59e528"/>
      <w:bookmarkStart w:id="290" w:name="B.6"/>
      <w:bookmarkStart w:id="291" w:name="z55777cfe505742119ca28fc9ac59e528"/>
      <w:bookmarkStart w:id="292" w:name="B.6"/>
      <w:bookmarkEnd w:id="291"/>
      <w:bookmarkEnd w:id="292"/>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0"/>
              <w:jc w:val="left"/>
              <w:rPr>
                <w:b/>
              </w:rPr>
            </w:pPr>
            <w:r>
              <w:rPr>
                <w:b/>
              </w:rPr>
              <w:t>Compensation</w:t>
            </w:r>
          </w:p>
        </w:tc>
      </w:tr>
    </w:tbl>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Compensation of directors and executive officers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i/>
          <w:sz w:val="20"/>
        </w:rPr>
        <w:t xml:space="preserve">Directors. </w:t>
      </w:r>
      <w:r>
        <w:rPr>
          <w:sz w:val="20"/>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Nonetheless, according to the Companies Law, the compensation committee and the board of directors, may in special circumstances approve compensation of directors, that is inconsistent with our stated compensation policy, provided that the provisions that must be included in the compensation policy according to the Companies Law have been considered by the compensation committee and the board of directors, and provided that the shareholders’ approval will be obtained, subject to the following requirements: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93" w:name="z61732e6856444f6eae54310e5953c745"/>
      <w:bookmarkStart w:id="294" w:name="z61732e6856444f6eae54310e5953c745"/>
      <w:bookmarkEnd w:id="29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at least a majority of the shares held by all shareholders who are not controlling shareholders and do not have a personal interest in such matter, present and voting at such meeting, have voted in favor of the compensation package, excluding abstentions;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95" w:name="z4fb219ecd94746809b7ead525b3d602f"/>
      <w:bookmarkStart w:id="296" w:name="z4fb219ecd94746809b7ead525b3d602f"/>
      <w:bookmarkEnd w:id="29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total number of shares of non-controlling shareholders and shareholders who do not have a personal interest in such matter, who vote against the compensation package does not exceed two percent (2%) of the aggregate voting rights in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i/>
          <w:sz w:val="20"/>
        </w:rPr>
        <w:t xml:space="preserve">Executive officers other than the Chief Executive Officer. </w:t>
      </w:r>
      <w:r>
        <w:rPr>
          <w:sz w:val="20"/>
        </w:rPr>
        <w:t>The Companies Law requires the approval of the compensation of a public company’s executive officers (for additional information on the approval of the compensation of the chief executive officer see below) in the following order: (i) the compensation committee, (ii) the company’s board of directors, and (iii) if such compensation arrangement is inconsistent with the company’s stated compensation policy, the company’s shareholders (by a special majority vote as described above with respect to the approval of the compensation of directors). However, if the shareholders of the company do not approve a compensation arrangement with an executive officer that is inconsistent with the company’s stated compensation policy, the compensation committee and the board of directors may override the shareholders’ decision if each of the compensation committee and the board of directors provide detailed reasons for their decision.</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An amendment to an existing arrangement with an office holder, who is not the chief executive officer, or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provided that the company’s compensation policy provides that a non-material amendment to the terms of service of an office holder (other than the chief executive officer) may be approved by the chief executive officer and (ii) the engagement terms are consistent with the company’s compensation policy.</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i/>
          <w:sz w:val="20"/>
        </w:rPr>
        <w:t xml:space="preserve">Chief Executive Officer. </w:t>
      </w:r>
      <w:r>
        <w:rPr>
          <w:sz w:val="20"/>
        </w:rPr>
        <w:t>Under the Companies Law, the compensation of a public company’s chief executive officer is required to be approved by: (i) the company’s compensation committee; (ii) the company’s board of directors, and (iii) the company’s shareholders (by a special majority vote, as described above with respect to the approval of the compensation of directors). However, if the shareholders of the company do not approve the compensation arrangement with the chief executive officer, the compensation committee and the board of directors may override the shareholders’ decision if each of the compensation committee and the board of directors provide detailed reasons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the provisions that must be included in the compensation policy according to the Companies Law, and that shareholders’ approval was obtained (by a special majority vote, as described above with respect to the approval of the compensation of directors). In addition, the compensation committee may waive the shareholder approval requirement with regards to the approval of the engagement terms of a candidate for the chief executive officer position, if they determine that (i) the compensation arrangement is consistent with the company’s stated compensation policy; (ii) the chief executive officer did not have a prior business relationship with the company or with a controlling shareholder of the company; and that (iii) conditioning the approval of the engagement on a shareholders’ vote would impede the company’s ability to employ the candidate to the chief executive officer position. In the event that the chief executive officer also serves as a member of the board of directors, his or her compensation terms as chief executive officer will be approved in accordance with the rules applicable to approval of compensation of directors.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bidi w:val="0"/>
        <w:spacing w:before="200" w:after="200"/>
        <w:jc w:val="left"/>
        <w:rPr/>
      </w:pPr>
      <w:r>
        <w:rPr/>
      </w:r>
    </w:p>
    <w:p>
      <w:pPr>
        <w:pStyle w:val="TextBody"/>
        <w:bidi w:val="0"/>
        <w:spacing w:lineRule="auto" w:line="300" w:before="0" w:after="0"/>
        <w:jc w:val="left"/>
        <w:rPr>
          <w:i/>
          <w:sz w:val="20"/>
        </w:rPr>
      </w:pPr>
      <w:r>
        <w:rPr>
          <w:i/>
          <w:sz w:val="20"/>
        </w:rPr>
        <w:t>Compensation of our office 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aggregate compensation paid by us and our subsidiaries to our executive officers and directors, including share-based compensation, for the year ended December 31, 2023, was approximately $29.6 million. This amount includes $0.78 million of amounts set aside or accrued to provide pension, severance, retirement or similar benefits or expenses, but does not include business travel, relocation, professional and business association dues and expenses reimbursed to office 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During the year ended December 31, 2023, our directors and officers were granted options to purchase an aggregate of 315,660 ordinary shares, at a weighted average exercise price of $36.77 per share, and 357,268 restricted share units under our 2019 Share Incentive Plan, or the 2019 Plan. As of December 31, 2023, options to purchase 3,462,853 ordinary shares granted to our executive officers and directors under our 2019 Plan and our 2011 Share Option Plan, or the 2011 Plan, at a weighted average exercise price of $43.27, and 353,562 restricted share units granted under the 2019 Plan, were outstanding.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is a summary of the salary expenses and social benefit costs of our five most highly compensated executive officers in 2023, or the Covered Executives. All amounts reported reflect the cost to the Company as recognized in our financial statements for the year ended December 31, 2023. U.S. dollar amounts indicated for compensation of our Covered Executives are in thousands of dollars.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Mr. Micha Kaufman, Co-Founder, Chief Executive Officer and Chairperson of the Board. Compensation expenses recorded in 2023 of $500 in salary expenses and $115 in social benefits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Mr. Ofer Katz, President and Chief Financial Officer. Compensation expenses recorded in 2023 of $368 in salary expenses and $98 in social benefits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Ms. Hila Klein, Chief Operating Officer. Compensation expenses recorded in 2023 of $350 in salary expenses and $118 in social benefits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Ms. Gali Arnon, Chief Business Officer, Marketplace. Compensation expenses recorded in 2023 of $311 in salary expenses and $114 in social benefits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Ms. Sharon Steiner, Chief Human Resources Officer. Compensation expenses recorded in 2023 of $267 in salary expenses and $92 in social benefits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salary expenses summarized above include the gross salary paid to the Covered Executives, and the benefit costs include the social benefits paid by us on behalf of the Covered Executives, convalescence pay, contributions made by the company to an insurance policy or a pension fund, work disability insurance, severance, educational fund and payments for social security.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accordance with the Company’s compensation policy, we also paid cash bonuses to our Covered Executives as approved by the compensation committee and the board of directors. The 2023 cash bonus expenses, including social benefits costs, for Mr. Micha Kaufman, Mr. Ofer Katz, Ms. Hila Klein, Ms. Gali Arnon and Ms. Sharon Steiner, as provided for in our 2023 financial statements (but due during 2024), were $598, $333, $237, $163 and $92, respectively.</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We recorded equity-based compensation expenses in our financial statements for the year ended December 31, 2023, for options and restricted share units granted to Mr. Micha Kaufman, Mr. Ofer Katz, Ms. Hila Klein, Ms. Gali Arnon and Ms. Sharon Steiner of $9,713, $6,694, $3,328, $2,920 and $2,269,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relevant amounts underlying the equity awards granted to our officers during 2023, will continue to be expensed in our financial statements over a four-year period during the years 2024-2027 on account of the 2023 grants in similar annualized amounts. Assumptions and key variables used in the calculation of such amounts are described in Note 14 to our audited consolidated financial statements included in Item 18 of this Annual Report. All equity-based compensation grants to our Covered Executives were made in accordance with the parameters of our Company’s compensation policy and were approved by the company’s compensation committee and 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pay each of our non-employee directors who (i) either joined our board of directors following our initial public offering or otherwise will join our board of directors in the future, or (ii) serves or will serve in the future on a board of directors committee, each (i) and (ii) an Eligible Director, the following compensation (which reflects certain changes approved by our board of directors and shareholders on October 25, 2023 reducing the overall non-executive director compensation package and changing the form of equity awards granted thereunder from options to restricted share units):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Cash Compensation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 annual cash retainer with respect to each twelve months of service in an amount of:</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97" w:name="zc8bc0912d2ba45b48a1d7b9771a177e7"/>
      <w:bookmarkStart w:id="298" w:name="zc8bc0912d2ba45b48a1d7b9771a177e7"/>
      <w:bookmarkEnd w:id="298"/>
    </w:p>
    <w:tbl>
      <w:tblPr>
        <w:tblW w:w="7394" w:type="dxa"/>
        <w:jc w:val="left"/>
        <w:tblInd w:w="0" w:type="dxa"/>
        <w:tblLayout w:type="fixed"/>
        <w:tblCellMar>
          <w:top w:w="0" w:type="dxa"/>
          <w:left w:w="0" w:type="dxa"/>
          <w:bottom w:w="0" w:type="dxa"/>
          <w:right w:w="0" w:type="dxa"/>
        </w:tblCellMar>
      </w:tblPr>
      <w:tblGrid>
        <w:gridCol w:w="1805"/>
        <w:gridCol w:w="60"/>
        <w:gridCol w:w="756"/>
        <w:gridCol w:w="3688"/>
        <w:gridCol w:w="60"/>
        <w:gridCol w:w="60"/>
        <w:gridCol w:w="151"/>
        <w:gridCol w:w="739"/>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4"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Lead Independent Director or Chairperson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Member</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lineRule="auto" w:line="300" w:before="0" w:after="0"/>
              <w:jc w:val="left"/>
              <w:rPr/>
            </w:pPr>
            <w:r>
              <w:rPr/>
              <w:t>Board of Directors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lineRule="auto" w:line="300" w:before="0" w:after="0"/>
              <w:jc w:val="left"/>
              <w:rPr/>
            </w:pPr>
            <w:r>
              <w:rPr/>
              <w:t>$</w:t>
            </w:r>
          </w:p>
        </w:tc>
        <w:tc>
          <w:tcPr>
            <w:tcW w:w="3688" w:type="dxa"/>
            <w:tcBorders/>
            <w:shd w:fill="CCEEFF" w:val="clear"/>
            <w:vAlign w:val="center"/>
          </w:tcPr>
          <w:p>
            <w:pPr>
              <w:pStyle w:val="TableContents"/>
              <w:bidi w:val="0"/>
              <w:spacing w:lineRule="auto" w:line="300" w:before="0" w:after="0"/>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lineRule="auto" w:line="300" w:before="0" w:after="0"/>
              <w:jc w:val="left"/>
              <w:rPr/>
            </w:pPr>
            <w:r>
              <w:rPr/>
              <w:t>$</w:t>
            </w:r>
          </w:p>
        </w:tc>
        <w:tc>
          <w:tcPr>
            <w:tcW w:w="739" w:type="dxa"/>
            <w:tcBorders/>
            <w:shd w:fill="CCEEFF" w:val="clear"/>
            <w:vAlign w:val="center"/>
          </w:tcPr>
          <w:p>
            <w:pPr>
              <w:pStyle w:val="TableContents"/>
              <w:bidi w:val="0"/>
              <w:spacing w:lineRule="auto" w:line="300" w:before="0" w:after="0"/>
              <w:jc w:val="right"/>
              <w:rPr/>
            </w:pPr>
            <w:r>
              <w:rPr/>
              <w:t>35,000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Additional fees with respect to each twelve months of service on the board of directors’ committees in the amounts of:</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99" w:name="z874afeb9e2454dc7bf97481c780964a3"/>
      <w:bookmarkStart w:id="300" w:name="z874afeb9e2454dc7bf97481c780964a3"/>
      <w:bookmarkEnd w:id="300"/>
    </w:p>
    <w:tbl>
      <w:tblPr>
        <w:tblW w:w="10205" w:type="dxa"/>
        <w:jc w:val="left"/>
        <w:tblInd w:w="0" w:type="dxa"/>
        <w:tblLayout w:type="fixed"/>
        <w:tblCellMar>
          <w:top w:w="0" w:type="dxa"/>
          <w:left w:w="0" w:type="dxa"/>
          <w:bottom w:w="0" w:type="dxa"/>
          <w:right w:w="0" w:type="dxa"/>
        </w:tblCellMar>
      </w:tblPr>
      <w:tblGrid>
        <w:gridCol w:w="5008"/>
        <w:gridCol w:w="60"/>
        <w:gridCol w:w="689"/>
        <w:gridCol w:w="3362"/>
        <w:gridCol w:w="60"/>
        <w:gridCol w:w="60"/>
        <w:gridCol w:w="151"/>
        <w:gridCol w:w="739"/>
        <w:gridCol w:w="76"/>
      </w:tblGrid>
      <w:tr>
        <w:trPr/>
        <w:tc>
          <w:tcPr>
            <w:tcW w:w="50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1"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Lead Independent Director or Chairperson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Member</w:t>
            </w:r>
          </w:p>
        </w:tc>
        <w:tc>
          <w:tcPr>
            <w:tcW w:w="76" w:type="dxa"/>
            <w:tcBorders/>
            <w:vAlign w:val="center"/>
          </w:tcPr>
          <w:p>
            <w:pPr>
              <w:pStyle w:val="TableContents"/>
              <w:bidi w:val="0"/>
              <w:spacing w:before="0" w:after="283"/>
              <w:jc w:val="left"/>
              <w:rPr/>
            </w:pPr>
            <w:r>
              <w:rPr/>
              <w:t> </w:t>
            </w:r>
          </w:p>
        </w:tc>
      </w:tr>
      <w:tr>
        <w:trPr/>
        <w:tc>
          <w:tcPr>
            <w:tcW w:w="5008" w:type="dxa"/>
            <w:tcBorders/>
            <w:shd w:fill="CCEEFF" w:val="clear"/>
            <w:vAlign w:val="center"/>
          </w:tcPr>
          <w:p>
            <w:pPr>
              <w:pStyle w:val="TableContents"/>
              <w:bidi w:val="0"/>
              <w:spacing w:lineRule="auto" w:line="300" w:before="0" w:after="0"/>
              <w:jc w:val="left"/>
              <w:rPr/>
            </w:pPr>
            <w:r>
              <w:rPr/>
              <w:t>Audit Committee</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lineRule="auto" w:line="300" w:before="0" w:after="0"/>
              <w:jc w:val="left"/>
              <w:rPr/>
            </w:pPr>
            <w:r>
              <w:rPr/>
              <w:t>$</w:t>
            </w:r>
          </w:p>
        </w:tc>
        <w:tc>
          <w:tcPr>
            <w:tcW w:w="3362" w:type="dxa"/>
            <w:tcBorders/>
            <w:shd w:fill="CCEEFF" w:val="clear"/>
            <w:vAlign w:val="center"/>
          </w:tcPr>
          <w:p>
            <w:pPr>
              <w:pStyle w:val="TableContents"/>
              <w:bidi w:val="0"/>
              <w:spacing w:lineRule="auto" w:line="300" w:before="0" w:after="0"/>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lineRule="auto" w:line="300" w:before="0" w:after="0"/>
              <w:jc w:val="left"/>
              <w:rPr/>
            </w:pPr>
            <w:r>
              <w:rPr/>
              <w:t>$</w:t>
            </w:r>
          </w:p>
        </w:tc>
        <w:tc>
          <w:tcPr>
            <w:tcW w:w="739" w:type="dxa"/>
            <w:tcBorders/>
            <w:shd w:fill="CCEEFF" w:val="clear"/>
            <w:vAlign w:val="center"/>
          </w:tcPr>
          <w:p>
            <w:pPr>
              <w:pStyle w:val="TableContents"/>
              <w:bidi w:val="0"/>
              <w:spacing w:lineRule="auto" w:line="300" w:before="0" w:after="0"/>
              <w:jc w:val="right"/>
              <w:rPr/>
            </w:pPr>
            <w:r>
              <w:rPr/>
              <w:t>10,000</w:t>
            </w:r>
          </w:p>
        </w:tc>
        <w:tc>
          <w:tcPr>
            <w:tcW w:w="76" w:type="dxa"/>
            <w:tcBorders/>
            <w:shd w:fill="CCEEFF" w:val="clear"/>
            <w:vAlign w:val="center"/>
          </w:tcPr>
          <w:p>
            <w:pPr>
              <w:pStyle w:val="TableContents"/>
              <w:bidi w:val="0"/>
              <w:spacing w:before="0" w:after="283"/>
              <w:jc w:val="left"/>
              <w:rPr/>
            </w:pPr>
            <w:r>
              <w:rPr/>
              <w:t> </w:t>
            </w:r>
          </w:p>
        </w:tc>
      </w:tr>
      <w:tr>
        <w:trPr/>
        <w:tc>
          <w:tcPr>
            <w:tcW w:w="5008" w:type="dxa"/>
            <w:tcBorders/>
            <w:vAlign w:val="center"/>
          </w:tcPr>
          <w:p>
            <w:pPr>
              <w:pStyle w:val="TableContents"/>
              <w:bidi w:val="0"/>
              <w:spacing w:lineRule="auto" w:line="300" w:before="0" w:after="0"/>
              <w:jc w:val="left"/>
              <w:rPr/>
            </w:pPr>
            <w:r>
              <w:rPr/>
              <w:t>Compensation Committee</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lineRule="auto" w:line="300" w:before="0" w:after="0"/>
              <w:jc w:val="left"/>
              <w:rPr/>
            </w:pPr>
            <w:r>
              <w:rPr/>
              <w:t>$</w:t>
            </w:r>
          </w:p>
        </w:tc>
        <w:tc>
          <w:tcPr>
            <w:tcW w:w="3362" w:type="dxa"/>
            <w:tcBorders/>
            <w:vAlign w:val="center"/>
          </w:tcPr>
          <w:p>
            <w:pPr>
              <w:pStyle w:val="TableContents"/>
              <w:bidi w:val="0"/>
              <w:spacing w:lineRule="auto" w:line="300" w:before="0" w:after="0"/>
              <w:jc w:val="right"/>
              <w:rPr/>
            </w:pPr>
            <w:r>
              <w:rPr/>
              <w:t>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lineRule="auto" w:line="300" w:before="0" w:after="0"/>
              <w:jc w:val="left"/>
              <w:rPr/>
            </w:pPr>
            <w:r>
              <w:rPr/>
              <w:t>$</w:t>
            </w:r>
          </w:p>
        </w:tc>
        <w:tc>
          <w:tcPr>
            <w:tcW w:w="739" w:type="dxa"/>
            <w:tcBorders/>
            <w:vAlign w:val="center"/>
          </w:tcPr>
          <w:p>
            <w:pPr>
              <w:pStyle w:val="TableContents"/>
              <w:bidi w:val="0"/>
              <w:spacing w:lineRule="auto" w:line="300" w:before="0" w:after="0"/>
              <w:jc w:val="right"/>
              <w:rPr/>
            </w:pPr>
            <w:r>
              <w:rPr/>
              <w:t>7,500</w:t>
            </w:r>
          </w:p>
        </w:tc>
        <w:tc>
          <w:tcPr>
            <w:tcW w:w="76" w:type="dxa"/>
            <w:tcBorders/>
            <w:vAlign w:val="center"/>
          </w:tcPr>
          <w:p>
            <w:pPr>
              <w:pStyle w:val="TableContents"/>
              <w:bidi w:val="0"/>
              <w:spacing w:before="0" w:after="283"/>
              <w:jc w:val="left"/>
              <w:rPr/>
            </w:pPr>
            <w:r>
              <w:rPr/>
              <w:t> </w:t>
            </w:r>
          </w:p>
        </w:tc>
      </w:tr>
      <w:tr>
        <w:trPr/>
        <w:tc>
          <w:tcPr>
            <w:tcW w:w="5008" w:type="dxa"/>
            <w:tcBorders/>
            <w:shd w:fill="CCEEFF" w:val="clear"/>
            <w:vAlign w:val="center"/>
          </w:tcPr>
          <w:p>
            <w:pPr>
              <w:pStyle w:val="TableContents"/>
              <w:bidi w:val="0"/>
              <w:spacing w:lineRule="auto" w:line="300" w:before="0" w:after="0"/>
              <w:jc w:val="left"/>
              <w:rPr/>
            </w:pPr>
            <w:r>
              <w:rPr/>
              <w:t>Nominating and ESG Committee</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lineRule="auto" w:line="300" w:before="0" w:after="0"/>
              <w:jc w:val="left"/>
              <w:rPr/>
            </w:pPr>
            <w:r>
              <w:rPr/>
              <w:t>$</w:t>
            </w:r>
          </w:p>
        </w:tc>
        <w:tc>
          <w:tcPr>
            <w:tcW w:w="3362" w:type="dxa"/>
            <w:tcBorders/>
            <w:shd w:fill="CCEEFF" w:val="clear"/>
            <w:vAlign w:val="center"/>
          </w:tcPr>
          <w:p>
            <w:pPr>
              <w:pStyle w:val="TableContents"/>
              <w:bidi w:val="0"/>
              <w:spacing w:lineRule="auto" w:line="300" w:before="0" w:after="0"/>
              <w:jc w:val="right"/>
              <w:rPr/>
            </w:pPr>
            <w:r>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lineRule="auto" w:line="300" w:before="0" w:after="0"/>
              <w:jc w:val="left"/>
              <w:rPr/>
            </w:pPr>
            <w:r>
              <w:rPr/>
              <w:t>$</w:t>
            </w:r>
          </w:p>
        </w:tc>
        <w:tc>
          <w:tcPr>
            <w:tcW w:w="739" w:type="dxa"/>
            <w:tcBorders/>
            <w:shd w:fill="CCEEFF" w:val="clear"/>
            <w:vAlign w:val="center"/>
          </w:tcPr>
          <w:p>
            <w:pPr>
              <w:pStyle w:val="TableContents"/>
              <w:bidi w:val="0"/>
              <w:spacing w:lineRule="auto" w:line="300" w:before="0" w:after="0"/>
              <w:jc w:val="right"/>
              <w:rPr/>
            </w:pPr>
            <w:r>
              <w:rPr/>
              <w:t>4,000</w:t>
            </w:r>
          </w:p>
        </w:tc>
        <w:tc>
          <w:tcPr>
            <w:tcW w:w="76" w:type="dxa"/>
            <w:tcBorders/>
            <w:shd w:fill="CCEEFF" w:val="clear"/>
            <w:vAlign w:val="center"/>
          </w:tcPr>
          <w:p>
            <w:pPr>
              <w:pStyle w:val="TableContents"/>
              <w:bidi w:val="0"/>
              <w:spacing w:before="0" w:after="283"/>
              <w:jc w:val="left"/>
              <w:rPr/>
            </w:pPr>
            <w:r>
              <w:rPr/>
              <w:t> </w:t>
            </w:r>
          </w:p>
        </w:tc>
      </w:tr>
      <w:tr>
        <w:trPr/>
        <w:tc>
          <w:tcPr>
            <w:tcW w:w="5008" w:type="dxa"/>
            <w:tcBorders/>
            <w:vAlign w:val="center"/>
          </w:tcPr>
          <w:p>
            <w:pPr>
              <w:pStyle w:val="TableContents"/>
              <w:bidi w:val="0"/>
              <w:spacing w:lineRule="auto" w:line="300" w:before="0" w:after="0"/>
              <w:jc w:val="left"/>
              <w:rPr/>
            </w:pPr>
            <w:r>
              <w:rPr/>
              <w:t>Other Committee as Authorized by the Board of Directors</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lineRule="auto" w:line="300" w:before="0" w:after="0"/>
              <w:jc w:val="left"/>
              <w:rPr/>
            </w:pPr>
            <w:r>
              <w:rPr/>
              <w:t>$</w:t>
            </w:r>
          </w:p>
        </w:tc>
        <w:tc>
          <w:tcPr>
            <w:tcW w:w="3362" w:type="dxa"/>
            <w:tcBorders/>
            <w:vAlign w:val="center"/>
          </w:tcPr>
          <w:p>
            <w:pPr>
              <w:pStyle w:val="TableContents"/>
              <w:bidi w:val="0"/>
              <w:spacing w:lineRule="auto" w:line="300" w:before="0" w:after="0"/>
              <w:jc w:val="right"/>
              <w:rPr/>
            </w:pPr>
            <w:r>
              <w:rPr/>
              <w:t>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lineRule="auto" w:line="300" w:before="0" w:after="0"/>
              <w:jc w:val="left"/>
              <w:rPr/>
            </w:pPr>
            <w:r>
              <w:rPr/>
              <w:t>$</w:t>
            </w:r>
          </w:p>
        </w:tc>
        <w:tc>
          <w:tcPr>
            <w:tcW w:w="739" w:type="dxa"/>
            <w:tcBorders/>
            <w:vAlign w:val="center"/>
          </w:tcPr>
          <w:p>
            <w:pPr>
              <w:pStyle w:val="TableContents"/>
              <w:bidi w:val="0"/>
              <w:spacing w:lineRule="auto" w:line="300" w:before="0" w:after="0"/>
              <w:jc w:val="right"/>
              <w:rPr/>
            </w:pPr>
            <w:r>
              <w:rPr/>
              <w:t>4,000</w:t>
            </w:r>
          </w:p>
        </w:tc>
        <w:tc>
          <w:tcPr>
            <w:tcW w:w="76"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Payment to the committee chairpersons is in lieu of (and not in addition) to the payments granted for committee membership. In case of service of less than a twelve months period, the annual fee shall be prorated with respect to the actual period of service.</w:t>
      </w:r>
    </w:p>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Equity Based Compensation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u w:val="single"/>
        </w:rPr>
        <w:t>Welcome Grant</w:t>
      </w:r>
      <w:r>
        <w:rPr>
          <w:sz w:val="20"/>
        </w:rPr>
        <w:t> – Each newly appointed or elected non-executive director of the Company shall be granted restricted share units with a grant date value of $300,000. Such welcome grant will vest on a quarterly basis over a period of one year. The commencement of the vesting shall begin on the election or appointment day.</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bidi w:val="0"/>
        <w:spacing w:before="200" w:after="200"/>
        <w:jc w:val="left"/>
        <w:rPr/>
      </w:pPr>
      <w:r>
        <w:rPr/>
      </w:r>
    </w:p>
    <w:p>
      <w:pPr>
        <w:pStyle w:val="TextBody"/>
        <w:bidi w:val="0"/>
        <w:spacing w:lineRule="auto" w:line="300" w:before="0" w:after="0"/>
        <w:ind w:left="0" w:right="0" w:firstLine="720"/>
        <w:jc w:val="both"/>
        <w:rPr>
          <w:sz w:val="20"/>
        </w:rPr>
      </w:pPr>
      <w:r>
        <w:rPr>
          <w:sz w:val="20"/>
          <w:u w:val="single"/>
        </w:rPr>
        <w:t>Annual Grant</w:t>
      </w:r>
      <w:r>
        <w:rPr>
          <w:sz w:val="20"/>
        </w:rPr>
        <w:t> – Each Eligible Director shall be granted restricted share units with a grant date value of $225,000 upon each annual anniversary of his or her initial election or appointment (provided that the director is still in office), or the Eligibility Date. Such annual grant will vest on a quarterly basis over a period of one year. The commencement of the vesting shall begin on the Eligibility Date.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welcome grant and the annual grants will also be subject to the following terms and conditions: (i) </w:t>
      </w:r>
      <w:r>
        <w:rPr>
          <w:sz w:val="20"/>
          <w:u w:val="single"/>
        </w:rPr>
        <w:t>Acceleration</w:t>
      </w:r>
      <w:r>
        <w:rPr>
          <w:sz w:val="20"/>
        </w:rPr>
        <w:t>. The equity awards shall be accelerated in the event of a Merger/Sale (as defined in the 2019 Plan); (ii) </w:t>
      </w:r>
      <w:r>
        <w:rPr>
          <w:sz w:val="20"/>
          <w:u w:val="single"/>
        </w:rPr>
        <w:t>Intended Tax Type of Award</w:t>
      </w:r>
      <w:r>
        <w:rPr>
          <w:sz w:val="20"/>
        </w:rPr>
        <w:t xml:space="preserve">. Equity grants to directors who are Israeli residents and qualify for a “102 award” pursuant to Section 102 of the Israeli Income Tax Ordinance [New Version]-1961, as amended, and the regulations promulgated thereunder, shall be classified as 102 Awards (as defined in the 2019 Plan), capital gain track equity (and non-102 qualified grants to directors who are Israeli residents will be classified as 3(9) Awards, as defined in the 2019 Plan); and (iii) </w:t>
      </w:r>
      <w:r>
        <w:rPr>
          <w:sz w:val="20"/>
          <w:u w:val="single"/>
        </w:rPr>
        <w:t>General</w:t>
      </w:r>
      <w:r>
        <w:rPr>
          <w:sz w:val="20"/>
        </w:rPr>
        <w:t>. The equity grants shall otherwise be subject to the terms and conditions of the 2019 Plan, or any effective equity plan at that time, and the award agreement in the form generally used by the Company at the time it was executed.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Employment agreements with executive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Share option plans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2011 Share Option Plan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2011 Plan was adopted by our board of directors on March 31, 2011, amended and restated in April 2013 and further amended on August 14, 2018 and on January 25, 2019. The 2011 Plan provided for the grant of options to our employees, directors, office holders, service providers and consultants. Our United States Sub Plan to the 2011 Plan, as was adopted under our 2011 Plan governed option awards granted to our United States employees or service providers, including those who are deemed to be residents of the United States for tax purposes.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no longer grant any awards under the 2011 Plan as it was superseded by the 2019 Plan, although previously granted awards remain outstanding. Ordinary shares subject to outstanding options granted under the 2011 Plan that expire or become unexercisable without having been exercised in full will become available again for future grant under the 2019 Plan. As of December 31, 2023, a total of 1,241,824 options to purchase ordinary shares were outstanding under the 2011 Plan, with a weighted average exercise price of $10.08 per share. Our board of directors, or a duly authorized committee of our board of directors, administers the 2011 Plan.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2019 Share Incentive Plan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maintain the 2019 Plan, under which we may grant equity based incentive awards to attract, motivate and retain the talent for which we compete. The 2019 Plan is administered by our board of directors and provides for the grant of stock options (including incentive stock options and nonqualified stock options), ordinary shares, restricted shares, restricted share units and other share based awards.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maximum number of ordinary shares available for issuance under the 2019 Plan is equal to the sum of (i) 560,807 shares, (ii) any shares subject to awards under the 2011 Plan which will expire or become unexercisable without having been exercised, and (iii) an annual increase on the first day of each year beginning in 2020 and ending in and including 2029, equal to the lesser of (A) 14,259,677 shares, (B) 5% of the outstanding shares on the last day of the immediately preceding calendar year on a fully diluted basis and (C) such amount as determined by our board of directors if so determined, prior to January 1 of a calendar year; provided, however, that no more than 14,820,484 shares may be issued upon the exercise of incentive stock options, or ISOs. As of December 31, 2023, a total of 2,170,457 options to purchase ordinary shares, with a weighted average exercise price of $76.89 per share and 1,476,818 restricted share units were outstanding under the 2019 Plan. As of December 31, 2023, 1,737,003 ordinary shares were available for future issuance under the 2019 Plan.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2019 Plan provides for granting awards under various tax regimes, including, without limitation, in compliance with Section 102 of the Israeli Income Tax Ordinance (New Version), 5721-1961, or the Ordinance, and Section 3(i) of the Ordinance and for awards granted to our United States employees or service providers, including those who are deemed to be residents of the United States for tax purposes, Section 422 of the Code and Section 409A of the Code.</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sz w:val="20"/>
        </w:rPr>
        <w:t>Section 102 of the Ordinance allows employees, directors and officers who are not controlling shareholders and are considered Israeli residents to receive favorable tax treatment for compensation in the form of shares or options, subject to the terms and conditions set forth in the Ordinance. Our non-employee service providers and controlling shareholders may only be granted options under section 3(i) of the Ordinance, which does not provide for similar tax benefits.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Options granted under the 2019 Plan to our employees who are U.S. residents may qualify as “incentive stock options” within the meaning of Section 422 of the Code, or may be non-qualified stock options.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b/>
          <w:sz w:val="20"/>
        </w:rPr>
      </w:pPr>
      <w:r>
        <w:rPr>
          <w:b/>
          <w:sz w:val="20"/>
        </w:rPr>
        <w:t>Employee Share Purchase Plan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August 2020, we adopted our 2020 Employee Share Purchase Plan, or the ESPP, to enable eligible employees of the company and certain of its designated subsidiaries to use payroll deductions to purchase the company’s ordinary shares and thereby acquire an ownership interest in the Company. The ESPP is comprised of two distinct components: (1) the component intended to qualify for favorable U.S. federal tax treatment under Section 423 of the Internal Revenue Code, or the Section 423 Component, and (2) the component not intended to be tax qualified under Section 423 of the Internal Revenue Code to facilitate participation for employees who are not eligible to benefit from favorable U.S. federal tax treatment and, to the extent applicable, to provide flexibility to comply with non U.S. law and other considerations, or the Non-Section 423 Component.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maximum aggregate number of ordinary shares that may be purchased initially under the ESPP is 410,000 shares, or the ESPP Share Pool, subject to adjustment as provided for in the ESPP. In addition, on the first day of each calendar year beginning on January 1, 2022 and ending on and including January 1, 2030, the ESPP Share Pool shall be increased by that number of ordinary shares equal to the lesser of (a) 1% of the ordinary shares outstanding on the final day of the immediately preceding calendar year on a fully diluted basis and (b) such smaller number of ordinary shares as determined by the board of directors. In no event will more than 5,500,000 ordinary shares be available for issuance under the Section 423 Component. As of December 31, 2023, the ESPP Share Pool consisted of 1,004,211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compensation committee of our board of directors is the administrator of the ESPP and has the authority to interpret the terms of the ESPP and determine eligibility of participants in accordance with the terms of the ESPP and applicable law.</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Eligible employees become participants in the ESPP by enrolling and authorizing payroll deductions by the deadline established by the plan administrator prior to the relevant offering date. Employee payroll deductions will be used to purchase shares on the last day of each purchase period (or such other date as set forth in the offering document). The plan administrator may amend, suspend or terminate the ESPP at any time. However, shareholder approval of any amendment to the ESPP must be obtained for any amendment which increases the aggregate number or changes the type of shares that may be sold pursuant to rights under the ESPP or changes the corporations or classes of corporations whose employees are eligible to participate in the ESPP.</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1" w:name="ze7f9b3254c0d410fb65a6da811f91687"/>
      <w:bookmarkStart w:id="302" w:name="C.6"/>
      <w:bookmarkStart w:id="303" w:name="ze7f9b3254c0d410fb65a6da811f91687"/>
      <w:bookmarkStart w:id="304" w:name="C.6"/>
      <w:bookmarkEnd w:id="303"/>
      <w:bookmarkEnd w:id="304"/>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0"/>
              <w:jc w:val="left"/>
              <w:rPr>
                <w:b/>
              </w:rPr>
            </w:pPr>
            <w:r>
              <w:rPr>
                <w:b/>
              </w:rPr>
              <w:t>Board Practices</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Corporate governance practices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an Israeli company, we are subject to various corporate governance requirements under the Companies Law. However, pursuant to regulations promulgated under the Companies Law, companies with shares traded on certain U.S. stock exchanges, including the New York Stock Exchange,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of appointment of a director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New York Stock Exchange, and (iii) we comply with the director independence requirements and the audit committee and compensation committee composition requirements under U.S. laws (including applicable New York Stock Exchange rules) applicable to U.S. domestic issuers.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Our board of directors has adopted corporate governance guidelines which serve as a flexible framework which our board of directors and its committees operate within, subject to the requirements of applicable law and regulations. Under these guidelines, it is our policy that the positions of chairperson of the board of directors and chief executive officer may be held by the same person (subject to approval by our shareholders pursuant to the Companies Law, as described below). Under such circumstances, the guidelines also provide that the board may designate an independent director to serve as lead independent director. The lead independent director’s responsibilities include, but are not limited to, presiding over all meetings of the board of directors at which the chairperson of the board of directors is not present, including any executive sessions of the independent directors, approving board of directors meeting schedules and agendas, and acting as the liaison between the independent directors and the chief executive officer and chairperson of the board of directors. According to the guidelines, where the chairperson of the board of directors is an independent director, the chairperson of the board of directors will also serve as the lead independent director. In May 2021, our board of directors appointed Ron Gutler as our lead independent director. We comply with the rules of the New York Stock Exchange requiring that a majority of our directors are independent. Our board of directors has determined that all directors, other than Micha Kaufman, our co-founder, chief executive officer and chairperson of the board of directors, are independent under such rules.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All other executive officers are appointed by the chief executive officer and are subject to the terms of any applicable employment or consulting agreement that we may enter into with them.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our amended and restated articles of association, our directors are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will be for a term of office that expires on the third annual general meeting following such election or re-election, such that each year the term of office of only one class of directors will expire.</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directors are divided among the three classes as follows: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5" w:name="zad6173453efe4657a6d60e7d3bfce007"/>
      <w:bookmarkStart w:id="306" w:name="zad6173453efe4657a6d60e7d3bfce007"/>
      <w:bookmarkEnd w:id="30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Class I directors are Jonathan Kolber and Yael Garten and their terms expire at our annual general meeting of shareholders to be held in 2026;</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7" w:name="zc133143e96f34c25b85126f67500332f"/>
      <w:bookmarkStart w:id="308" w:name="zc133143e96f34c25b85126f67500332f"/>
      <w:bookmarkEnd w:id="30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Class II directors are Adam Fisher and Nir Zohar, and their terms expire at our annual meeting of shareholders to be held in 2024;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9" w:name="z9043aa4542ea42d2825c4a7a47e0bb44"/>
      <w:bookmarkStart w:id="310" w:name="z9043aa4542ea42d2825c4a7a47e0bb44"/>
      <w:bookmarkEnd w:id="31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Class III directors are Micha Kaufman, Ron Gutler and Gili Iohan, and their terms expire at our annual meeting of shareholders to be held in 2025.</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Each of the directors shall be elected by a vote of the holders of a majority of the voting power present and voting at that meeting (excluding abstentions), provided that a plurality voting mechanism is effected in the event of a contested election. Each director will hold office until the annual general meeting of our shareholders for the year in which his or her term expires, unless the tenure of such director expires earlier pursuant to the Companies Law or unless he or she is removed from office (under the conditions described below).</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Under our amended and restated articles of association, the approval of the holders of at least 65% of the total voting power of our shareholders is generally required to remove any of our directors from office, and any amendment to this provision shall require the approval of at least 65% of the total voting power of our shareholders. In addition, vacancies on our board of directors may only be filled by a vote of a simple majority of the directors then in office. A director so appointed will hold office until the next annual general meeting of our shareholders for the class in respect of which the vacancy was created, or in the case of a vacancy due to the number of directors being less than the maximum number of directors stated in the articles, until the next annual general meeting of our shareholders for the class he or she has been assigned by our board of directors.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bidi w:val="0"/>
        <w:spacing w:before="200" w:after="200"/>
        <w:jc w:val="left"/>
        <w:rPr/>
      </w:pPr>
      <w:r>
        <w:rPr/>
      </w:r>
    </w:p>
    <w:p>
      <w:pPr>
        <w:pStyle w:val="TextBody"/>
        <w:bidi w:val="0"/>
        <w:spacing w:lineRule="auto" w:line="300" w:before="0" w:after="0"/>
        <w:jc w:val="left"/>
        <w:rPr>
          <w:b/>
          <w:i/>
          <w:sz w:val="20"/>
        </w:rPr>
      </w:pPr>
      <w:r>
        <w:rPr>
          <w:b/>
          <w:i/>
          <w:sz w:val="20"/>
        </w:rPr>
        <w:t>Chairperson of the board</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amended and restated articles of association provide that the chairperson of the board is appointed by the members of the board of directors. The chief executive officer (referred to as a “general manager” under the Companies Law) or a relative of the chief executive officer may not serve as the chairperson of the board of directors, and the chairperson of the board of directors or a relative of the chairperson may not be vested with authorities of the chief executive officer without shareholder approval consisting of a majority vote of the shares present and voting at a shareholders meeting, under the following requirements: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1" w:name="z7efff68159c94a7c881a7b868595c9ca"/>
      <w:bookmarkStart w:id="312" w:name="z7efff68159c94a7c881a7b868595c9ca"/>
      <w:bookmarkEnd w:id="31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at least a majority of the shares of non-controlling shareholders and shareholders that do not have a personal interest in the approval voted at the meeting in favor (disregarding abstentions);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3" w:name="z2161617b59f9437b91545c1dfacee037"/>
      <w:bookmarkStart w:id="314" w:name="z2161617b59f9437b91545c1dfacee037"/>
      <w:bookmarkEnd w:id="31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total number of shares of non-controlling shareholders and shareholders who do not have a personal interest in such appointment voting against such appointment does not exceed two percent (2%) of the aggregate voting rights in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Currently, our chief executive officer, Micha Kaufman, also serves as our chairperson of the board of directors. The required approval by our shareholders of the appointment of our chief executive officer as the chairperson of the board must be obtained by no later than five years following the closing date of our initial public offering, or the IPO, June 17, 2019. Further, if our chief executive officer serves as the chairperson of the board of directors, his or her dual office term shall be limited, following the initial five-year period, to three-year terms, subject to shareholder approval.</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addition, a person subordinated, directly or indirectly, to the chief executive officer may not serve as the chairperson of the board of directors; the chairperson of the board of directors may not be vested with authorities that are granted to those subordinated to the chief executive officer; and the chairperson of the board of directors may not serve in any other position in the company or a controlled company, but he or she may serve as a director or chairperson of the board of directors of a subsidiary.</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External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Companies Law, companies incorporated under the laws of the State of Israel that are “public companies,” including companies with shares listed on the New York Stock Exchange, are required to appoint at least two external directors. Pursuant to regulations promulgated under the Companies Law, companies with shares traded on certain U.S. stock exchanges, including the New York Stock Exchange,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elected to “opt out” from the Companies Law requirement to appoint external directors and related Companies Law rules concerning the composition of the audit committee and compensation committee of the board of directors.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Audit committee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Companies Law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Companies Law, the board of directors of a public company must appoint an audit committee. The audit committee must be comprised of at least three directors.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Listing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New York Stock Exchange corporate governance rules, we are required to maintain an audit committee consisting of at least three independent directors, each of whom is financially literate and one of whom has accounting or related financial management expertise.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audit committee consists of Ron Gutler, Gili Iohan and Nir Zohar. Mr. Gutler serves as the chairperson of the audit committee. All members of our audit committee meet the requirements for financial literacy under the applicable rules and regulations of the SEC and the New York Stock Exchange corporate governance rules. Our board of directors has determined that Mr. Gutler is an audit committee financial expert as defined by the SEC rules and has the requisite financial experience as defined by the New York Stock Exchange corporate governance rules.</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sz w:val="20"/>
        </w:rPr>
        <w:t>Our board of directors has determined that each member of our audit committee is “independent” as such term is defined in Rule 10A-3(b)(1) under the Exchange Act, which is different from the general test for independence of board and committee members.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bidi w:val="0"/>
        <w:spacing w:before="200" w:after="200"/>
        <w:jc w:val="left"/>
        <w:rPr/>
      </w:pPr>
      <w:r>
        <w:rPr/>
      </w:r>
    </w:p>
    <w:p>
      <w:pPr>
        <w:pStyle w:val="TextBody"/>
        <w:bidi w:val="0"/>
        <w:spacing w:lineRule="auto" w:line="300" w:before="0" w:after="0"/>
        <w:ind w:left="0" w:right="0" w:firstLine="720"/>
        <w:jc w:val="left"/>
        <w:rPr/>
      </w:pPr>
      <w:r>
        <w:rPr/>
      </w:r>
    </w:p>
    <w:p>
      <w:pPr>
        <w:pStyle w:val="TextBody"/>
        <w:bidi w:val="0"/>
        <w:spacing w:lineRule="auto" w:line="300" w:before="0" w:after="0"/>
        <w:jc w:val="left"/>
        <w:rPr>
          <w:b/>
          <w:i/>
          <w:sz w:val="20"/>
        </w:rPr>
      </w:pPr>
      <w:r>
        <w:rPr>
          <w:b/>
          <w:i/>
          <w:sz w:val="20"/>
        </w:rPr>
        <w:t>Audit committee role</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board of directors has adopted an audit committee charter setting forth the responsibilities of the audit committee, which are also consistent with the Companies Law, the SEC rules and the New York Stock Exchange corporate governance rules. The responsibilities of the audit committee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5" w:name="zae0828568cd94b5c8af0d2995720d6e9"/>
      <w:bookmarkStart w:id="316" w:name="zae0828568cd94b5c8af0d2995720d6e9"/>
      <w:bookmarkEnd w:id="31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retaining and terminating our independent auditors, subject to the ratification of the board of directors, and in the case of retention, to that of the shareholders;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7" w:name="zca8bbe0987454c1b94dcddfe00ffe8af"/>
      <w:bookmarkStart w:id="318" w:name="zca8bbe0987454c1b94dcddfe00ffe8af"/>
      <w:bookmarkEnd w:id="31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pre-approving of audit and non-audit services and related fees and terms, to be provided by the independent auditors;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9" w:name="z72e7298f5013468c9b38b03a9cc98a19"/>
      <w:bookmarkStart w:id="320" w:name="z72e7298f5013468c9b38b03a9cc98a19"/>
      <w:bookmarkEnd w:id="32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overseeing the accounting and financial reporting processes of our company, the audits of our financial statements, the effectiveness of our internal control over financial reporting and making such reports as may be required of an audit committee under the rules and regulations promulgated under the Exchange Act;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1" w:name="z36f58c74f2564aa798052449a9b8482f"/>
      <w:bookmarkStart w:id="322" w:name="z36f58c74f2564aa798052449a9b8482f"/>
      <w:bookmarkEnd w:id="32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overseeing the Company policies with respect to risk assessment and risk management, including with respect to financial, information security and cybersecurity related risks;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3" w:name="z4c6e42aba9b847c88ada7470b049b27a"/>
      <w:bookmarkStart w:id="324" w:name="z4c6e42aba9b847c88ada7470b049b27a"/>
      <w:bookmarkEnd w:id="32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reviewing with management and our independent auditor our annual, semi-annual and quarterly financial statements prior to publication or filing (or submission, as the case may be) to the SEC;</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5" w:name="zad4da043cddc498490b0e4c24eaaf8dd"/>
      <w:bookmarkStart w:id="326" w:name="zad4da043cddc498490b0e4c24eaaf8dd"/>
      <w:bookmarkEnd w:id="32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recommending to the board of directors the retention and termination of the internal auditor, and the internal auditor’s engagement fees and terms, in accordance with the Companies Law, as well as reviewing and approving the yearly or periodic work plan proposed by the internal auditor;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7" w:name="ze81a1d204f41451c86e4abde2e025f3c"/>
      <w:bookmarkStart w:id="328" w:name="ze81a1d204f41451c86e4abde2e025f3c"/>
      <w:bookmarkEnd w:id="3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reviewing with our general counsel and/or external counsel, as deemed necessary, legal and regulatory matters that could have a material impact on the financial statements;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9" w:name="z2c08ca9886114c5d9c465f4784bd4654"/>
      <w:bookmarkStart w:id="330" w:name="z2c08ca9886114c5d9c465f4784bd4654"/>
      <w:bookmarkEnd w:id="33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Receiving reports of suspected irregularities in our business administration, inter alia, by members of the Company’s management, legal counsel, the independent or internal auditor, and suggesting corrective measures to the board of directors;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1" w:name="z4a48a71521154b5fab9a020ce37f8777"/>
      <w:bookmarkStart w:id="332" w:name="z4a48a71521154b5fab9a020ce37f8777"/>
      <w:bookmarkEnd w:id="33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3" w:name="z66458538a7994f2a8a1471fa2dca6de6"/>
      <w:bookmarkStart w:id="334" w:name="z66458538a7994f2a8a1471fa2dca6de6"/>
      <w:bookmarkEnd w:id="3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establishing and overseeing procedures and policies for the handling of employees’ complaints as to the management of our business and the protection to be provided to such employees.</w:t>
            </w:r>
          </w:p>
        </w:tc>
      </w:tr>
    </w:tbl>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Compensation committee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Companies Law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Companies Law, the board of directors of a public company must appoint a compensation committee, which must be comprised of at least three directors.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Listing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New York Stock Exchange corporate governance rules, we are required to maintain a compensation committee consisting of at least two independent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compensation committee consists of Ron Gutler, Gili Iohan and Nir Zohar. Mr. Gutler serves as chairperson of the compensation committee. Our board of directors has determined that each member of our compensation committee is independent under the New York Stock Exchange rules, including the additional independence requirements applicable to the members of a compensation committee.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bidi w:val="0"/>
        <w:spacing w:before="200" w:after="200"/>
        <w:jc w:val="left"/>
        <w:rPr/>
      </w:pPr>
      <w:r>
        <w:rPr/>
      </w:r>
    </w:p>
    <w:p>
      <w:pPr>
        <w:pStyle w:val="TextBody"/>
        <w:bidi w:val="0"/>
        <w:spacing w:lineRule="auto" w:line="300" w:before="0" w:after="0"/>
        <w:jc w:val="left"/>
        <w:rPr>
          <w:b/>
          <w:i/>
          <w:sz w:val="20"/>
        </w:rPr>
      </w:pPr>
      <w:r>
        <w:rPr>
          <w:b/>
          <w:i/>
          <w:sz w:val="20"/>
        </w:rPr>
        <w:t>Compensation committee role</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accordance with the Companies Law, the roles of the compensation committee are, among others, as follows: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5" w:name="z74e18ce8019e4ddabb1a26fab29050bd"/>
      <w:bookmarkStart w:id="336" w:name="z74e18ce8019e4ddabb1a26fab29050bd"/>
      <w:bookmarkEnd w:id="3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recommending to the board of directors with respect to the approval of the compensation policy for office holders and, once every three years, regarding any extensions to a compensation policy that was adopted for a period of more than three years;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7" w:name="z37d6da9b3cee4a67b9719cff566ab37b"/>
      <w:bookmarkStart w:id="338" w:name="z37d6da9b3cee4a67b9719cff566ab37b"/>
      <w:bookmarkEnd w:id="3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reviewing the implementation of the compensation policy and periodically recommending to the board of directors with respect to any amendments or updates of the compensation policy;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9" w:name="z404db9e53fa145caa3677b03473f30bc"/>
      <w:bookmarkStart w:id="340" w:name="z404db9e53fa145caa3677b03473f30bc"/>
      <w:bookmarkEnd w:id="34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resolving whether or not to approve arrangements with respect to the terms of office and employment of office holders;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1" w:name="zb40ece8cd218402c96ecf552e5d64eb5"/>
      <w:bookmarkStart w:id="342" w:name="zb40ece8cd218402c96ecf552e5d64eb5"/>
      <w:bookmarkEnd w:id="34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exempting, under certain circumstances, a transaction with our chief executive officer from the approval of the general meeting of our shareholders.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board of directors has adopted a compensation committee charter setting forth the responsibilities of the committee consistent with the New York Stock Exchange rules, which include among others: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3" w:name="zc82029341d7146d4b24eaead90ce9ffb"/>
      <w:bookmarkStart w:id="344" w:name="zc82029341d7146d4b24eaead90ce9ffb"/>
      <w:bookmarkEnd w:id="34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5" w:name="z0e3f2ebf265643b593044e90e21b966d"/>
      <w:bookmarkStart w:id="346" w:name="z0e3f2ebf265643b593044e90e21b966d"/>
      <w:bookmarkEnd w:id="34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reviewing and approving the granting of options and other incentive awards to the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7" w:name="z6d4823013bd943aa9688e49ff59e3f6d"/>
      <w:bookmarkStart w:id="348" w:name="z6d4823013bd943aa9688e49ff59e3f6d"/>
      <w:bookmarkEnd w:id="34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overseeing and periodically reviewing with management our strategies, policies and practices with respect to human capital management and management development, including with respect to matters such as diversity, equity, and inclusion; workplace environment and culture; employee engagement and effectiveness; and talent recruitment, development, and retention;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9" w:name="zf1afa8680c794ecdaeaebd9867bc390d"/>
      <w:bookmarkStart w:id="350" w:name="zf1afa8680c794ecdaeaebd9867bc390d"/>
      <w:bookmarkEnd w:id="35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approving and exempting certain transactions regarding office holders’ compensation pursuant to the Companies Law;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51" w:name="zdb8b3c0204fd471d812f9f5a12a935fb"/>
      <w:bookmarkStart w:id="352" w:name="zdb8b3c0204fd471d812f9f5a12a935fb"/>
      <w:bookmarkEnd w:id="35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Compensation policy under the Companies Law</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at a shareholders meeting, provided that either:</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53" w:name="z6a9398c5f8ec463e9f97b47cf864e039"/>
      <w:bookmarkStart w:id="354" w:name="z6a9398c5f8ec463e9f97b47cf864e039"/>
      <w:bookmarkEnd w:id="35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such majority includes at least a majority of the shares held by shareholders who are not controlling shareholders and shareholders who do not have a personal interest in such compensation policy and who are present, in person or by proxy, and voting (excluding abstentions);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55" w:name="zc30dc5e896ca4109b4ff3938cba915f4"/>
      <w:bookmarkStart w:id="356" w:name="zc30dc5e896ca4109b4ff3938cba915f4"/>
      <w:bookmarkEnd w:id="35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total number of shares of non-controlling shareholders and shareholders who do not have a personal interest in the compensation policy and who vote against the policy does not exceed two percent (2%) of the aggregate voting rights in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bidi w:val="0"/>
        <w:spacing w:before="200" w:after="200"/>
        <w:jc w:val="left"/>
        <w:rPr/>
      </w:pPr>
      <w:r>
        <w:rPr/>
      </w:r>
    </w:p>
    <w:p>
      <w:pPr>
        <w:pStyle w:val="TextBody"/>
        <w:bidi w:val="0"/>
        <w:spacing w:lineRule="auto" w:line="300" w:before="0" w:after="0"/>
        <w:ind w:left="0" w:right="0" w:firstLine="709"/>
        <w:jc w:val="left"/>
        <w:rPr>
          <w:sz w:val="20"/>
        </w:rPr>
      </w:pPr>
      <w:r>
        <w:rPr>
          <w:sz w:val="20"/>
        </w:rPr>
        <w:t>If a company that initially offers its securities to the public, like us, adopts a compensation policy in advance of its initial public offering, and describes it in its prospectus for such offering, as we did,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57" w:name="z467b27a7e51c4702b1f829fc81d48971"/>
      <w:bookmarkStart w:id="358" w:name="z467b27a7e51c4702b1f829fc81d48971"/>
      <w:bookmarkEnd w:id="358"/>
    </w:p>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left"/>
              <w:rPr/>
            </w:pPr>
            <w:r>
              <w:rPr/>
              <w:t>the education, skills, experience, expertise and accomplishments of the relevant office holder;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59" w:name="za14199d1377e44dc8a99f68a7d6bb656"/>
      <w:bookmarkStart w:id="360" w:name="za14199d1377e44dc8a99f68a7d6bb656"/>
      <w:bookmarkEnd w:id="360"/>
    </w:p>
    <w:tbl>
      <w:tblPr>
        <w:tblW w:w="9198" w:type="dxa"/>
        <w:jc w:val="left"/>
        <w:tblInd w:w="0" w:type="dxa"/>
        <w:tblLayout w:type="fixed"/>
        <w:tblCellMar>
          <w:top w:w="0" w:type="dxa"/>
          <w:left w:w="0" w:type="dxa"/>
          <w:bottom w:w="0" w:type="dxa"/>
          <w:right w:w="0" w:type="dxa"/>
        </w:tblCellMar>
      </w:tblPr>
      <w:tblGrid>
        <w:gridCol w:w="38"/>
        <w:gridCol w:w="110"/>
        <w:gridCol w:w="9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pPr>
            <w:r>
              <w:rPr/>
              <w:t>the office holder’s position, responsibilities and prior compensation agreements with him or her;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1" w:name="z51de87763ad94ecfaf42d442cadbb2ab"/>
      <w:bookmarkStart w:id="362" w:name="z51de87763ad94ecfaf42d442cadbb2ab"/>
      <w:bookmarkEnd w:id="36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3" w:name="z4598442f204041c1ade4ec80081533cf"/>
      <w:bookmarkStart w:id="364" w:name="z4598442f204041c1ade4ec80081533cf"/>
      <w:bookmarkEnd w:id="36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the terms of employment include variable components—the possibility of reducing variable components at the discretion of the board of directors and the possibility of setting a limit on the value of non-cash variable equity-based components;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5" w:name="zad5fdaae4ff6442abea7cd45bccac823"/>
      <w:bookmarkStart w:id="366" w:name="zad5fdaae4ff6442abea7cd45bccac823"/>
      <w:bookmarkEnd w:id="36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the terms of employment include severance compensation—the term of employment or office of the office holder, the terms of his or her compensation during such period, the company’s performance during such period, his or her individual contribution to the achievement of the company goals and the maximization of its profits and the circumstances under which he or she is leaving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compensation policy must also include, among other features: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7" w:name="z4f51c80515374efe9582a4178b84e7fe"/>
      <w:bookmarkStart w:id="368" w:name="z4f51c80515374efe9582a4178b84e7fe"/>
      <w:bookmarkEnd w:id="368"/>
    </w:p>
    <w:tbl>
      <w:tblPr>
        <w:tblW w:w="3663" w:type="dxa"/>
        <w:jc w:val="left"/>
        <w:tblInd w:w="0" w:type="dxa"/>
        <w:tblLayout w:type="fixed"/>
        <w:tblCellMar>
          <w:top w:w="0" w:type="dxa"/>
          <w:left w:w="0" w:type="dxa"/>
          <w:bottom w:w="0" w:type="dxa"/>
          <w:right w:w="0" w:type="dxa"/>
        </w:tblCellMar>
      </w:tblPr>
      <w:tblGrid>
        <w:gridCol w:w="38"/>
        <w:gridCol w:w="110"/>
        <w:gridCol w:w="35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0"/>
              <w:jc w:val="left"/>
              <w:rPr/>
            </w:pPr>
            <w:r>
              <w:rPr/>
              <w:t>with regards to variable components: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9" w:name="z8980d25dbfac4e6399cdc0e2d5a10b52"/>
      <w:bookmarkStart w:id="370" w:name="z8980d25dbfac4e6399cdc0e2d5a10b52"/>
      <w:bookmarkEnd w:id="37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monthly salaries per annum, while taking into account such office holder’s contribution to the company;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1" w:name="zbe3e3e16239d4ab095a1a2bcf3bedfc5"/>
      <w:bookmarkStart w:id="372" w:name="zbe3e3e16239d4ab095a1a2bcf3bedfc5"/>
      <w:bookmarkEnd w:id="37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ratio between variable and fixed components, as well as the limit of the values of variable components at the time of their payment, or in the case of equity-based compensation, at the time of grant;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3" w:name="za0b8f12cccf34022b98f0d58d58b3f2f"/>
      <w:bookmarkStart w:id="374" w:name="za0b8f12cccf34022b98f0d58d58b3f2f"/>
      <w:bookmarkEnd w:id="37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condition under which the office holder will return to the company, according to conditions to be set forth in the compensation policy, any amounts paid as part of his or her terms of employment, if such amounts were paid based on information later discovered to be wrong, and such information was restated in the company’s financial statements;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5" w:name="z601ac4e2301a419eb160f82fdd77aef0"/>
      <w:bookmarkStart w:id="376" w:name="z601ac4e2301a419eb160f82fdd77aef0"/>
      <w:bookmarkEnd w:id="37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minimum holding or vesting period of variable equity-based components to be set in the terms of office or employment, as applicable, while taking into consideration long-term incentives;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7" w:name="z8eb9361416f94a8883458323a2ae4e39"/>
      <w:bookmarkStart w:id="378" w:name="z8eb9361416f94a8883458323a2ae4e39"/>
      <w:bookmarkEnd w:id="378"/>
    </w:p>
    <w:tbl>
      <w:tblPr>
        <w:tblW w:w="2703" w:type="dxa"/>
        <w:jc w:val="left"/>
        <w:tblInd w:w="0" w:type="dxa"/>
        <w:tblLayout w:type="fixed"/>
        <w:tblCellMar>
          <w:top w:w="0" w:type="dxa"/>
          <w:left w:w="0" w:type="dxa"/>
          <w:bottom w:w="0" w:type="dxa"/>
          <w:right w:w="0" w:type="dxa"/>
        </w:tblCellMar>
      </w:tblPr>
      <w:tblGrid>
        <w:gridCol w:w="38"/>
        <w:gridCol w:w="110"/>
        <w:gridCol w:w="2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0"/>
              <w:jc w:val="left"/>
              <w:rPr/>
            </w:pPr>
            <w:r>
              <w:rPr/>
              <w:t>a limit to retirement grants.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bidi w:val="0"/>
        <w:spacing w:before="200" w:after="200"/>
        <w:jc w:val="left"/>
        <w:rPr/>
      </w:pPr>
      <w:r>
        <w:rPr/>
      </w:r>
    </w:p>
    <w:p>
      <w:pPr>
        <w:pStyle w:val="TextBody"/>
        <w:bidi w:val="0"/>
        <w:spacing w:lineRule="auto" w:line="300" w:before="0" w:after="0"/>
        <w:ind w:left="0" w:right="0" w:firstLine="709"/>
        <w:jc w:val="left"/>
        <w:rPr>
          <w:sz w:val="20"/>
        </w:rPr>
      </w:pPr>
      <w:r>
        <w:rPr>
          <w:sz w:val="20"/>
        </w:rPr>
        <w:t>Our compensation policy also addresses our executive officers’ individual characteristics (such as his or her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measurable performance objectives of our chief executive officer will be determined annually by our compensation committee and board of directors. A non-material portion of the chief executive officer’s annual cash bonus may be based on a discretionary evaluation of the chief executive officer’s overall performance by the compensation committee and the board of directors, based on quantitative and qualitative criteria.</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restricted share units and performance stock units, in accordance with our share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compensation policy was approved by our board of directors and shareholders and became effective upon the closing of our IPO and was further amended by our compensation committee, board of directors and shareholders at our 2021 annual general meeting and our 2023 annual general meeting.</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Nominating, and ESG committee</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nominating and ESG committee consists of Ron Gutler, Gili Iohan and Nir Zohar. Mr. Gutler serves as chairperson of the nominating and ESG committee. Our board of directors has adopted a nominating and ESG committee charter setting forth the responsibilities, which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9" w:name="zed795a1cd9d24ffdb2475d9c7af446b6"/>
      <w:bookmarkStart w:id="380" w:name="zed795a1cd9d24ffdb2475d9c7af446b6"/>
      <w:bookmarkEnd w:id="380"/>
    </w:p>
    <w:tbl>
      <w:tblPr>
        <w:tblW w:w="9828" w:type="dxa"/>
        <w:jc w:val="left"/>
        <w:tblInd w:w="0" w:type="dxa"/>
        <w:tblLayout w:type="fixed"/>
        <w:tblCellMar>
          <w:top w:w="0" w:type="dxa"/>
          <w:left w:w="0" w:type="dxa"/>
          <w:bottom w:w="0" w:type="dxa"/>
          <w:right w:w="0" w:type="dxa"/>
        </w:tblCellMar>
      </w:tblPr>
      <w:tblGrid>
        <w:gridCol w:w="38"/>
        <w:gridCol w:w="110"/>
        <w:gridCol w:w="96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0"/>
              <w:jc w:val="left"/>
              <w:rPr/>
            </w:pPr>
            <w:r>
              <w:rPr/>
              <w:t>overseeing and assisting our board in reviewing and recommending nominees for election as directors;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1" w:name="z9d294e20d65542d4a401e90806ee242b"/>
      <w:bookmarkStart w:id="382" w:name="z9d294e20d65542d4a401e90806ee242b"/>
      <w:bookmarkEnd w:id="382"/>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0"/>
              <w:jc w:val="left"/>
              <w:rPr/>
            </w:pPr>
            <w:r>
              <w:rPr/>
              <w:t>assessing the performance of the members of our board of directors;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3" w:name="z3b66a9d6a5fc453990fb637eae047618"/>
      <w:bookmarkStart w:id="384" w:name="z3b66a9d6a5fc453990fb637eae047618"/>
      <w:bookmarkEnd w:id="38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establishing and maintaining effective corporate governance policies and practices, including, but not limited to, ESG policies, programs and strategies, and developing and recommending to our board of directors a set of corporate governance guidelines applicable to our company;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5" w:name="z389af636bdd14b6c813db409cb0cd6b2"/>
      <w:bookmarkStart w:id="386" w:name="z389af636bdd14b6c813db409cb0cd6b2"/>
      <w:bookmarkEnd w:id="38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overseeing the Company’s risks, strategies, policies, programs and practices related to environmental, social and governance (ESG) matters.</w:t>
            </w:r>
          </w:p>
        </w:tc>
      </w:tr>
    </w:tbl>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Internal auditor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 As of December 31, 2023, Ms. Sharon Cohen, CPA from Deloitte IL &amp; Co, a firm in the Deloitte Global Network is acting as our internal auditor.</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b/>
          <w:sz w:val="20"/>
        </w:rPr>
        <w:t>Fiduciary Duties and</w:t>
      </w:r>
      <w:r>
        <w:rPr>
          <w:sz w:val="20"/>
        </w:rPr>
        <w:t> </w:t>
      </w:r>
      <w:r>
        <w:rPr>
          <w:b/>
          <w:sz w:val="20"/>
        </w:rPr>
        <w:t>Approval of related party transactions under Israeli law</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Fiduciary duties of directors and executive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w:t>
      </w:r>
      <w:r>
        <w:rPr>
          <w:i/>
          <w:sz w:val="20"/>
        </w:rPr>
        <w:t>Management—Executive officers and directors”</w:t>
      </w:r>
      <w:r>
        <w:rPr>
          <w:sz w:val="20"/>
        </w:rPr>
        <w:t> is an office holder under the Companies Law.</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will act in good faith and in the best interests of the company.</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Disclosure of personal interests of an office holder and approval of certain transactions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Companies Law requires that an office holder will promptly disclose to the board of directors any personal interest that he or she may have and all related material information known to him or her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approval of such a transaction then all of the directors may participate in deliberations of the audit committee or board of directors, as applicable, with respect to such transaction and vote on the approval thereof and, in such case, shareholder approval is also required.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For a description of the approvals required under Israeli law for compensation arrangements of officers and directors, see above under Item 6.B”</w:t>
      </w:r>
      <w:r>
        <w:rPr>
          <w:i/>
          <w:sz w:val="20"/>
        </w:rPr>
        <w:t>Director, Senior Management and Employees Compensation — Compensation of directors and executive officers.”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Shareholders’ duties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shareholders’ class meetings with respect to the following matters: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7" w:name="z8cab09a1787445d8aaacc1ab97bdffd4"/>
      <w:bookmarkStart w:id="388" w:name="z8cab09a1787445d8aaacc1ab97bdffd4"/>
      <w:bookmarkEnd w:id="388"/>
    </w:p>
    <w:tbl>
      <w:tblPr>
        <w:tblW w:w="5373" w:type="dxa"/>
        <w:jc w:val="left"/>
        <w:tblInd w:w="0" w:type="dxa"/>
        <w:tblLayout w:type="fixed"/>
        <w:tblCellMar>
          <w:top w:w="0" w:type="dxa"/>
          <w:left w:w="0" w:type="dxa"/>
          <w:bottom w:w="0" w:type="dxa"/>
          <w:right w:w="0" w:type="dxa"/>
        </w:tblCellMar>
      </w:tblPr>
      <w:tblGrid>
        <w:gridCol w:w="38"/>
        <w:gridCol w:w="110"/>
        <w:gridCol w:w="52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left"/>
              <w:rPr/>
            </w:pPr>
            <w:r>
              <w:rPr/>
              <w:t>an amendment to the company’s articles of association;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9" w:name="ze4ce905c4d4348589cfe2099fa2e1380"/>
      <w:bookmarkStart w:id="390" w:name="ze4ce905c4d4348589cfe2099fa2e1380"/>
      <w:bookmarkEnd w:id="390"/>
    </w:p>
    <w:tbl>
      <w:tblPr>
        <w:tblW w:w="5268" w:type="dxa"/>
        <w:jc w:val="left"/>
        <w:tblInd w:w="0" w:type="dxa"/>
        <w:tblLayout w:type="fixed"/>
        <w:tblCellMar>
          <w:top w:w="0" w:type="dxa"/>
          <w:left w:w="0" w:type="dxa"/>
          <w:bottom w:w="0" w:type="dxa"/>
          <w:right w:w="0" w:type="dxa"/>
        </w:tblCellMar>
      </w:tblPr>
      <w:tblGrid>
        <w:gridCol w:w="38"/>
        <w:gridCol w:w="110"/>
        <w:gridCol w:w="5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0"/>
              <w:jc w:val="left"/>
              <w:rPr/>
            </w:pPr>
            <w:r>
              <w:rPr/>
              <w:t>an increase of the company’s authorized share capital;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91" w:name="zdbe4a72171f54fbab24985c741915ffc"/>
      <w:bookmarkStart w:id="392" w:name="zdbe4a72171f54fbab24985c741915ffc"/>
      <w:bookmarkEnd w:id="392"/>
    </w:p>
    <w:tbl>
      <w:tblPr>
        <w:tblW w:w="1323" w:type="dxa"/>
        <w:jc w:val="left"/>
        <w:tblInd w:w="0" w:type="dxa"/>
        <w:tblLayout w:type="fixed"/>
        <w:tblCellMar>
          <w:top w:w="0" w:type="dxa"/>
          <w:left w:w="0" w:type="dxa"/>
          <w:bottom w:w="0" w:type="dxa"/>
          <w:right w:w="0" w:type="dxa"/>
        </w:tblCellMar>
      </w:tblPr>
      <w:tblGrid>
        <w:gridCol w:w="38"/>
        <w:gridCol w:w="110"/>
        <w:gridCol w:w="11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pPr>
            <w:r>
              <w:rPr/>
              <w:t>a merger;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93" w:name="z49a44662a96e476d9cd18079955725a7"/>
      <w:bookmarkStart w:id="394" w:name="z49a44662a96e476d9cd18079955725a7"/>
      <w:bookmarkEnd w:id="394"/>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left"/>
              <w:rPr/>
            </w:pPr>
            <w:r>
              <w:rPr/>
              <w:t>interested party transactions that require shareholders’ approval.</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addition, a shareholder has a general duty to refrain from discriminating against other shareholders.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Certain shareholders also have a duty of fairness toward the company. These shareholders include any controlling shareholder, any shareholder who knows that it has the power to determine the outcome of a shareholders’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Exculpation, insurance and indemnification of office 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95" w:name="z8d9272c9dacb487aae71f39810974e0b"/>
      <w:bookmarkStart w:id="396" w:name="z8d9272c9dacb487aae71f39810974e0b"/>
      <w:bookmarkEnd w:id="39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financial liability imposed on him or her in favor of another person pursuant to a judgment,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97" w:name="z796f7705dd854c00963a081d8fe4bfd8"/>
      <w:bookmarkStart w:id="398" w:name="z796f7705dd854c00963a081d8fe4bfd8"/>
      <w:bookmarkEnd w:id="39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99" w:name="zfa2930f4e0054f04b2ce3bf15505f445"/>
      <w:bookmarkStart w:id="400" w:name="zfa2930f4e0054f04b2ce3bf15505f445"/>
      <w:bookmarkEnd w:id="40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reasonable litigation expenses, including attorneys’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1" w:name="zde5e5a2ec510476795d796a3900260ee"/>
      <w:bookmarkStart w:id="402" w:name="zde5e5a2ec510476795d796a3900260ee"/>
      <w:bookmarkEnd w:id="40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or the Israeli Securities Law.</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An Israeli company may insure an office holder against the following liabilities incurred for acts performed as an office holder if and to the extent provided in the company’s articles of association: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3" w:name="ze971f6e794a3492181f8ab3ab8eb47f1"/>
      <w:bookmarkStart w:id="404" w:name="ze971f6e794a3492181f8ab3ab8eb47f1"/>
      <w:bookmarkEnd w:id="40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breach of the duty of loyalty to the company, to the extent that the office holder acted in good faith and had a reasonable basis to believe that the act would not prejudice the company;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5" w:name="zcbb6f6c5a2a54d1a9c5cda3c11190bd9"/>
      <w:bookmarkStart w:id="406" w:name="zcbb6f6c5a2a54d1a9c5cda3c11190bd9"/>
      <w:bookmarkEnd w:id="40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breach of the duty of care to the company or to a third-party, including a breach arising out of the negligent conduct of the office holder;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7" w:name="z2e9fb6bd8e1f44329452ff4a83fbc1d6"/>
      <w:bookmarkStart w:id="408" w:name="z2e9fb6bd8e1f44329452ff4a83fbc1d6"/>
      <w:bookmarkEnd w:id="408"/>
    </w:p>
    <w:tbl>
      <w:tblPr>
        <w:tblW w:w="7008" w:type="dxa"/>
        <w:jc w:val="left"/>
        <w:tblInd w:w="0" w:type="dxa"/>
        <w:tblLayout w:type="fixed"/>
        <w:tblCellMar>
          <w:top w:w="0" w:type="dxa"/>
          <w:left w:w="0" w:type="dxa"/>
          <w:bottom w:w="0" w:type="dxa"/>
          <w:right w:w="0" w:type="dxa"/>
        </w:tblCellMar>
      </w:tblPr>
      <w:tblGrid>
        <w:gridCol w:w="38"/>
        <w:gridCol w:w="110"/>
        <w:gridCol w:w="68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0"/>
              <w:jc w:val="left"/>
              <w:rPr/>
            </w:pPr>
            <w:r>
              <w:rPr/>
              <w:t>a financial liability imposed on the office holder in favor of a third-party;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9" w:name="z323af79d8823435986a2b0b8142a412c"/>
      <w:bookmarkStart w:id="410" w:name="z323af79d8823435986a2b0b8142a412c"/>
      <w:bookmarkEnd w:id="41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financial liability imposed on the office holder in favor of a third-party harmed by a breach in an administrative proceeding;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11" w:name="z68e56c6522104669999085eef428a22a"/>
      <w:bookmarkStart w:id="412" w:name="z68e56c6522104669999085eef428a22a"/>
      <w:bookmarkEnd w:id="41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expenses, including reasonable litigation expenses and legal fees, incurred by the office holder as a result of an administrative proceeding instituted against him or her pursuant to certain provisions of the Israeli Securities Law.</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An Israeli company may not indemnify or insure an office holder against any of the following: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13" w:name="z7d440c892a2a423ebf63f5c4bc9e1b29"/>
      <w:bookmarkStart w:id="414" w:name="z7d440c892a2a423ebf63f5c4bc9e1b29"/>
      <w:bookmarkEnd w:id="41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breach of the duty of loyalty, except to the extent that the office holder acted in good faith and had a reasonable basis to believe that the act would not prejudice the company;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15" w:name="zd6ce45aec7314d1dbfaf7a6d4e9731ec"/>
      <w:bookmarkStart w:id="416" w:name="zd6ce45aec7314d1dbfaf7a6d4e9731ec"/>
      <w:bookmarkEnd w:id="41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breach of the duty of care committed intentionally or recklessly, excluding a breach arising out of the negligent conduct of the office holder;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17" w:name="zba8aefa7ab694dc1b6bac3bd06098943"/>
      <w:bookmarkStart w:id="418" w:name="zba8aefa7ab694dc1b6bac3bd06098943"/>
      <w:bookmarkEnd w:id="418"/>
    </w:p>
    <w:tbl>
      <w:tblPr>
        <w:tblW w:w="7398" w:type="dxa"/>
        <w:jc w:val="left"/>
        <w:tblInd w:w="0" w:type="dxa"/>
        <w:tblLayout w:type="fixed"/>
        <w:tblCellMar>
          <w:top w:w="0" w:type="dxa"/>
          <w:left w:w="0" w:type="dxa"/>
          <w:bottom w:w="0" w:type="dxa"/>
          <w:right w:w="0" w:type="dxa"/>
        </w:tblCellMar>
      </w:tblPr>
      <w:tblGrid>
        <w:gridCol w:w="38"/>
        <w:gridCol w:w="110"/>
        <w:gridCol w:w="72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pPr>
            <w:r>
              <w:rPr/>
              <w:t>an act or omission committed with intent to derive illegal personal benefit;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19" w:name="zec03e0417c024f6ab3cc3597b42f8133"/>
      <w:bookmarkStart w:id="420" w:name="zec03e0417c024f6ab3cc3597b42f8133"/>
      <w:bookmarkEnd w:id="420"/>
    </w:p>
    <w:tbl>
      <w:tblPr>
        <w:tblW w:w="6453" w:type="dxa"/>
        <w:jc w:val="left"/>
        <w:tblInd w:w="0" w:type="dxa"/>
        <w:tblLayout w:type="fixed"/>
        <w:tblCellMar>
          <w:top w:w="0" w:type="dxa"/>
          <w:left w:w="0" w:type="dxa"/>
          <w:bottom w:w="0" w:type="dxa"/>
          <w:right w:w="0" w:type="dxa"/>
        </w:tblCellMar>
      </w:tblPr>
      <w:tblGrid>
        <w:gridCol w:w="38"/>
        <w:gridCol w:w="110"/>
        <w:gridCol w:w="6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left"/>
              <w:rPr/>
            </w:pPr>
            <w:r>
              <w:rPr/>
              <w:t>a fine, monetary sanction or forfeit levied against the office holder.</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Under the Companies Law, exculpation, indemnification and insurance of office holders must be approved by the compensation committee and the board of directors (and, with respect to directors and the chief executive officer, by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that compensation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bidi w:val="0"/>
        <w:spacing w:before="200" w:after="200"/>
        <w:jc w:val="left"/>
        <w:rPr/>
      </w:pPr>
      <w:r>
        <w:rPr/>
      </w:r>
    </w:p>
    <w:p>
      <w:pPr>
        <w:pStyle w:val="TextBody"/>
        <w:bidi w:val="0"/>
        <w:spacing w:lineRule="auto" w:line="300" w:before="0" w:after="0"/>
        <w:ind w:left="0" w:right="0" w:firstLine="709"/>
        <w:jc w:val="left"/>
        <w:rPr>
          <w:sz w:val="20"/>
        </w:rPr>
      </w:pPr>
      <w:r>
        <w:rPr>
          <w:sz w:val="20"/>
        </w:rPr>
        <w:t>Our amended and restated articles of association allow us to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We have entered into agreements with each of our directors and executive officers exculpating them,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maximum indemnification amount set forth in such agreements is limited to an amount equal to the higher of (i) $350 million, (ii) 25% of our total shareholders’ equity as reflected in our most recent consolidated financial statements prior to the date on which the indemnity payment is made, and (iii) ten percent (10%) of the Company Total Market Cap (which shall mean the average closing price of our ordinary shares over the 30 trading days prior to the actual payment of indemnification multiplied by the total number of our issued and outstanding shares as of the date of actual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the opinion of the SEC, indemnification of directors and office holders for liabilities arising under the Securities Act is against public policy and therefore unenforceable.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21" w:name="z876ee691ce3745fcb96e4bf7b5e33b7a"/>
      <w:bookmarkStart w:id="422" w:name="D.6"/>
      <w:bookmarkStart w:id="423" w:name="z876ee691ce3745fcb96e4bf7b5e33b7a"/>
      <w:bookmarkStart w:id="424" w:name="D.6"/>
      <w:bookmarkEnd w:id="423"/>
      <w:bookmarkEnd w:id="424"/>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283"/>
              <w:jc w:val="left"/>
              <w:rPr>
                <w:b/>
              </w:rPr>
            </w:pPr>
            <w:r>
              <w:rPr>
                <w:b/>
              </w:rPr>
              <w:t>D.</w:t>
            </w:r>
          </w:p>
        </w:tc>
        <w:tc>
          <w:tcPr>
            <w:tcW w:w="1130" w:type="dxa"/>
            <w:tcBorders/>
            <w:vAlign w:val="center"/>
          </w:tcPr>
          <w:p>
            <w:pPr>
              <w:pStyle w:val="TableContents"/>
              <w:bidi w:val="0"/>
              <w:spacing w:before="0" w:after="0"/>
              <w:jc w:val="left"/>
              <w:rPr>
                <w:b/>
              </w:rPr>
            </w:pPr>
            <w:r>
              <w:rPr>
                <w:b/>
              </w:rPr>
              <w:t>Employees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believe that our corporate culture and our relationship with our employees contribute to our success. Our employees are continuously innovating, and our structure rewards productivity. Set forth below is a chart showing the number of people we employed at the times indicated:</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25" w:name="z229a54a190ac4535ac06403cf72f1daa"/>
      <w:bookmarkStart w:id="426" w:name="z229a54a190ac4535ac06403cf72f1daa"/>
      <w:bookmarkEnd w:id="426"/>
    </w:p>
    <w:tbl>
      <w:tblPr>
        <w:tblW w:w="5661" w:type="dxa"/>
        <w:jc w:val="left"/>
        <w:tblInd w:w="0" w:type="dxa"/>
        <w:tblLayout w:type="fixed"/>
        <w:tblCellMar>
          <w:top w:w="0" w:type="dxa"/>
          <w:left w:w="0" w:type="dxa"/>
          <w:bottom w:w="0" w:type="dxa"/>
          <w:right w:w="0" w:type="dxa"/>
        </w:tblCellMar>
      </w:tblPr>
      <w:tblGrid>
        <w:gridCol w:w="2915"/>
        <w:gridCol w:w="60"/>
        <w:gridCol w:w="103"/>
        <w:gridCol w:w="666"/>
        <w:gridCol w:w="76"/>
        <w:gridCol w:w="76"/>
        <w:gridCol w:w="103"/>
        <w:gridCol w:w="666"/>
        <w:gridCol w:w="76"/>
        <w:gridCol w:w="76"/>
        <w:gridCol w:w="103"/>
        <w:gridCol w:w="666"/>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1"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lineRule="auto" w:line="300" w:before="0" w:after="0"/>
              <w:jc w:val="left"/>
              <w:rPr>
                <w:b/>
              </w:rPr>
            </w:pPr>
            <w:r>
              <w:rPr>
                <w:b/>
              </w:rPr>
              <w:t>Total Employees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b/>
              </w:rPr>
            </w:pPr>
            <w:r>
              <w:rPr>
                <w:b/>
              </w:rPr>
              <w:t>775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b/>
              </w:rPr>
            </w:pPr>
            <w:r>
              <w:rPr>
                <w:b/>
              </w:rPr>
              <w:t>739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b/>
              </w:rPr>
            </w:pPr>
            <w:r>
              <w:rPr>
                <w:b/>
              </w:rPr>
              <w:t>787</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lineRule="auto" w:line="300" w:before="0" w:after="0"/>
              <w:jc w:val="left"/>
              <w:rPr/>
            </w:pPr>
            <w:r>
              <w:rPr/>
              <w:t>Located in Israel</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623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575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580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lineRule="auto" w:line="300" w:before="0" w:after="0"/>
              <w:jc w:val="left"/>
              <w:rPr/>
            </w:pPr>
            <w:r>
              <w:rPr/>
              <w:t>Located in the United States</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144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157</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197</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lineRule="auto" w:line="300" w:before="0" w:after="0"/>
              <w:jc w:val="left"/>
              <w:rPr/>
            </w:pPr>
            <w:r>
              <w:rPr/>
              <w:t>Located in Europe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lineRule="auto" w:line="300" w:before="0" w:after="0"/>
              <w:jc w:val="left"/>
              <w:rPr/>
            </w:pPr>
            <w:r>
              <w:rPr/>
              <w:t>In Research and Development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332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295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311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lineRule="auto" w:line="300" w:before="0" w:after="0"/>
              <w:jc w:val="left"/>
              <w:rPr/>
            </w:pPr>
            <w:r>
              <w:rPr/>
              <w:t>In Marketing</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204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198</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223</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lineRule="auto" w:line="300" w:before="0" w:after="0"/>
              <w:jc w:val="left"/>
              <w:rPr/>
            </w:pPr>
            <w:r>
              <w:rPr/>
              <w:t>In General and Administration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111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125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lineRule="auto" w:line="300" w:before="0" w:after="0"/>
              <w:jc w:val="right"/>
              <w:rPr/>
            </w:pPr>
            <w:r>
              <w:rPr/>
              <w:t>109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lineRule="auto" w:line="300" w:before="0" w:after="0"/>
              <w:jc w:val="left"/>
              <w:rPr/>
            </w:pPr>
            <w:r>
              <w:rPr/>
              <w:t>In Customer Care</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128</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121</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lineRule="auto" w:line="300" w:before="0" w:after="0"/>
              <w:jc w:val="right"/>
              <w:rPr/>
            </w:pPr>
            <w:r>
              <w:rPr/>
              <w:t>144</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 The numbers of employees set forth in this table do not include contractors.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In regard to our Israeli employees, Israeli labor laws govern the length of the workday, minimum wages for employees, procedures for hiring and dismissing employees, determination of severance pay, annual leave, sick days, advance notice of termination of employment, equal opportunity and anti-discrimination laws and other conditions of employment. Subject to certain exceptions, Israeli law generally requires severance pay upon the retirement, death or dismissal of an employee, and requires us and our employees to make payments to the National Insurance Institute, which is similar to the U.S. Social Security Administration. Our employees have pension plans that comply with the applicable Israeli legal requirements and we make monthly contributions to severance pay funds for all employees, which cover potential severance pay obligations.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 of our employees work under any collective bargaining agreements. Extension orders issued by the Israeli Ministry of Economy and Industry apply to us and affect matters such as cost of living adjustments to salaries, length of working hours and week, recuperation pay, travel expenses and pension rights.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never experienced labor-related work stoppages or strikes and believe that our relations with our employees are satisfactory.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27" w:name="z18f7a1dacf2a4451be40640b1fb89d83"/>
      <w:bookmarkStart w:id="428" w:name="E.6"/>
      <w:bookmarkStart w:id="429" w:name="z18f7a1dacf2a4451be40640b1fb89d83"/>
      <w:bookmarkStart w:id="430" w:name="E.6"/>
      <w:bookmarkEnd w:id="429"/>
      <w:bookmarkEnd w:id="430"/>
    </w:p>
    <w:tbl>
      <w:tblPr>
        <w:tblW w:w="2080" w:type="dxa"/>
        <w:jc w:val="left"/>
        <w:tblInd w:w="0" w:type="dxa"/>
        <w:tblLayout w:type="fixed"/>
        <w:tblCellMar>
          <w:top w:w="0" w:type="dxa"/>
          <w:left w:w="0" w:type="dxa"/>
          <w:bottom w:w="0" w:type="dxa"/>
          <w:right w:w="0" w:type="dxa"/>
        </w:tblCellMar>
      </w:tblPr>
      <w:tblGrid>
        <w:gridCol w:w="260"/>
        <w:gridCol w:w="1820"/>
      </w:tblGrid>
      <w:tr>
        <w:trPr/>
        <w:tc>
          <w:tcPr>
            <w:tcW w:w="260" w:type="dxa"/>
            <w:tcBorders/>
            <w:vAlign w:val="center"/>
          </w:tcPr>
          <w:p>
            <w:pPr>
              <w:pStyle w:val="TableContents"/>
              <w:bidi w:val="0"/>
              <w:spacing w:before="0" w:after="283"/>
              <w:jc w:val="left"/>
              <w:rPr>
                <w:b/>
              </w:rPr>
            </w:pPr>
            <w:r>
              <w:rPr>
                <w:b/>
              </w:rPr>
              <w:t>E.</w:t>
            </w:r>
          </w:p>
        </w:tc>
        <w:tc>
          <w:tcPr>
            <w:tcW w:w="1820" w:type="dxa"/>
            <w:tcBorders/>
            <w:vAlign w:val="center"/>
          </w:tcPr>
          <w:p>
            <w:pPr>
              <w:pStyle w:val="TableContents"/>
              <w:bidi w:val="0"/>
              <w:spacing w:before="0" w:after="0"/>
              <w:jc w:val="left"/>
              <w:rPr>
                <w:b/>
              </w:rPr>
            </w:pPr>
            <w:r>
              <w:rPr>
                <w:b/>
              </w:rPr>
              <w:t>Share Ownership</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For information regarding the share ownership of directors and officers, see Item 7.A. “</w:t>
      </w:r>
      <w:r>
        <w:rPr>
          <w:i/>
          <w:sz w:val="20"/>
        </w:rPr>
        <w:t>Major Shareholders and Related Party Transactions—Major Shareholders.</w:t>
      </w:r>
      <w:r>
        <w:rPr>
          <w:sz w:val="20"/>
        </w:rPr>
        <w:t>” For information as to our equity incentive plans, see Item 6.B. “</w:t>
      </w:r>
      <w:r>
        <w:rPr>
          <w:i/>
          <w:sz w:val="20"/>
        </w:rPr>
        <w:t>Director, Senior Management and Employees—Compensation—Share Option Plans.</w:t>
      </w:r>
      <w:r>
        <w:rPr>
          <w:sz w:val="20"/>
        </w:rPr>
        <w: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31" w:name="zcd2dde9652d044d3b318756576d25445"/>
      <w:bookmarkStart w:id="432" w:name="F.6"/>
      <w:bookmarkStart w:id="433" w:name="zcd2dde9652d044d3b318756576d25445"/>
      <w:bookmarkStart w:id="434" w:name="F.6"/>
      <w:bookmarkEnd w:id="433"/>
      <w:bookmarkEnd w:id="434"/>
    </w:p>
    <w:tbl>
      <w:tblPr>
        <w:tblW w:w="8875" w:type="dxa"/>
        <w:jc w:val="left"/>
        <w:tblInd w:w="0" w:type="dxa"/>
        <w:tblLayout w:type="fixed"/>
        <w:tblCellMar>
          <w:top w:w="0" w:type="dxa"/>
          <w:left w:w="0" w:type="dxa"/>
          <w:bottom w:w="0" w:type="dxa"/>
          <w:right w:w="0" w:type="dxa"/>
        </w:tblCellMar>
      </w:tblPr>
      <w:tblGrid>
        <w:gridCol w:w="245"/>
        <w:gridCol w:w="8630"/>
      </w:tblGrid>
      <w:tr>
        <w:trPr/>
        <w:tc>
          <w:tcPr>
            <w:tcW w:w="245" w:type="dxa"/>
            <w:tcBorders/>
            <w:vAlign w:val="center"/>
          </w:tcPr>
          <w:p>
            <w:pPr>
              <w:pStyle w:val="TableContents"/>
              <w:bidi w:val="0"/>
              <w:spacing w:before="0" w:after="283"/>
              <w:jc w:val="left"/>
              <w:rPr>
                <w:b/>
              </w:rPr>
            </w:pPr>
            <w:r>
              <w:rPr>
                <w:b/>
              </w:rPr>
              <w:t>F.</w:t>
            </w:r>
          </w:p>
        </w:tc>
        <w:tc>
          <w:tcPr>
            <w:tcW w:w="8630" w:type="dxa"/>
            <w:tcBorders/>
            <w:vAlign w:val="center"/>
          </w:tcPr>
          <w:p>
            <w:pPr>
              <w:pStyle w:val="TableContents"/>
              <w:bidi w:val="0"/>
              <w:spacing w:before="0" w:after="0"/>
              <w:jc w:val="left"/>
              <w:rPr>
                <w:b/>
              </w:rPr>
            </w:pPr>
            <w:r>
              <w:rPr>
                <w:b/>
              </w:rPr>
              <w:t>Disclosure of a Registrant’s Action to Recover Erroneously Awarded Compensation.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 xml:space="preserve">Item 7. </w:t>
      </w:r>
      <w:bookmarkStart w:id="435" w:name="Item7."/>
      <w:bookmarkEnd w:id="435"/>
      <w:r>
        <w:rPr>
          <w:b/>
          <w:sz w:val="20"/>
        </w:rPr>
        <w:t>Major Shareholders and Related Party Transactions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36" w:name="zb6657b130690468cbca7227b4f671bee"/>
      <w:bookmarkStart w:id="437" w:name="A.7"/>
      <w:bookmarkStart w:id="438" w:name="zb6657b130690468cbca7227b4f671bee"/>
      <w:bookmarkStart w:id="439" w:name="A.7"/>
      <w:bookmarkEnd w:id="438"/>
      <w:bookmarkEnd w:id="439"/>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before="0" w:after="283"/>
              <w:jc w:val="left"/>
              <w:rPr>
                <w:b/>
              </w:rPr>
            </w:pPr>
            <w:r>
              <w:rPr>
                <w:b/>
              </w:rPr>
              <w:t>A.</w:t>
            </w:r>
          </w:p>
        </w:tc>
        <w:tc>
          <w:tcPr>
            <w:tcW w:w="2090" w:type="dxa"/>
            <w:tcBorders/>
            <w:vAlign w:val="center"/>
          </w:tcPr>
          <w:p>
            <w:pPr>
              <w:pStyle w:val="TableContents"/>
              <w:bidi w:val="0"/>
              <w:spacing w:before="0" w:after="0"/>
              <w:jc w:val="left"/>
              <w:rPr>
                <w:b/>
              </w:rPr>
            </w:pPr>
            <w:r>
              <w:rPr>
                <w:b/>
              </w:rPr>
              <w:t>Major Shareholders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both"/>
        <w:rPr>
          <w:sz w:val="20"/>
        </w:rPr>
      </w:pPr>
      <w:r>
        <w:rPr>
          <w:sz w:val="20"/>
        </w:rPr>
        <w:t>The following table sets forth information with respect to the beneficial ownership of our shares as of February 1, 2024, by: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0" w:name="z9ba61bf8a12049f3933b819678387915"/>
      <w:bookmarkStart w:id="441" w:name="z9ba61bf8a12049f3933b819678387915"/>
      <w:bookmarkEnd w:id="441"/>
    </w:p>
    <w:tbl>
      <w:tblPr>
        <w:tblW w:w="9183" w:type="dxa"/>
        <w:jc w:val="left"/>
        <w:tblInd w:w="0" w:type="dxa"/>
        <w:tblLayout w:type="fixed"/>
        <w:tblCellMar>
          <w:top w:w="0" w:type="dxa"/>
          <w:left w:w="0" w:type="dxa"/>
          <w:bottom w:w="0" w:type="dxa"/>
          <w:right w:w="0" w:type="dxa"/>
        </w:tblCellMar>
      </w:tblPr>
      <w:tblGrid>
        <w:gridCol w:w="38"/>
        <w:gridCol w:w="110"/>
        <w:gridCol w:w="9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0"/>
              <w:jc w:val="left"/>
              <w:rPr/>
            </w:pPr>
            <w:r>
              <w:rPr/>
              <w:t>each person or entity known by us to own beneficially more than 5% of our outstanding shares;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2" w:name="ze978aa59f92c4746b95a41ea587f9ac9"/>
      <w:bookmarkStart w:id="443" w:name="ze978aa59f92c4746b95a41ea587f9ac9"/>
      <w:bookmarkEnd w:id="443"/>
    </w:p>
    <w:tbl>
      <w:tblPr>
        <w:tblW w:w="5898" w:type="dxa"/>
        <w:jc w:val="left"/>
        <w:tblInd w:w="0" w:type="dxa"/>
        <w:tblLayout w:type="fixed"/>
        <w:tblCellMar>
          <w:top w:w="0" w:type="dxa"/>
          <w:left w:w="0" w:type="dxa"/>
          <w:bottom w:w="0" w:type="dxa"/>
          <w:right w:w="0" w:type="dxa"/>
        </w:tblCellMar>
      </w:tblPr>
      <w:tblGrid>
        <w:gridCol w:w="38"/>
        <w:gridCol w:w="110"/>
        <w:gridCol w:w="5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0"/>
              <w:jc w:val="left"/>
              <w:rPr/>
            </w:pPr>
            <w:r>
              <w:rPr/>
              <w:t>each of our directors and executive officers individually;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4" w:name="z4afaf68808724a98be055926fc86ca8f"/>
      <w:bookmarkStart w:id="445" w:name="z4afaf68808724a98be055926fc86ca8f"/>
      <w:bookmarkEnd w:id="445"/>
    </w:p>
    <w:tbl>
      <w:tblPr>
        <w:tblW w:w="5133" w:type="dxa"/>
        <w:jc w:val="left"/>
        <w:tblInd w:w="0" w:type="dxa"/>
        <w:tblLayout w:type="fixed"/>
        <w:tblCellMar>
          <w:top w:w="0" w:type="dxa"/>
          <w:left w:w="0" w:type="dxa"/>
          <w:bottom w:w="0" w:type="dxa"/>
          <w:right w:w="0" w:type="dxa"/>
        </w:tblCellMar>
      </w:tblPr>
      <w:tblGrid>
        <w:gridCol w:w="38"/>
        <w:gridCol w:w="110"/>
        <w:gridCol w:w="4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0"/>
              <w:jc w:val="left"/>
              <w:rPr/>
            </w:pPr>
            <w:r>
              <w:rPr/>
              <w:t>all of our executive officers and directors as a group.</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beneficial ownership of ordinary shares is determined in accordance with the SEC rules and generally includes any ordinary shares over which a person exercises sole or shared voting or investment power. For purposes of the table below, we deem shares subject to options that are currently exercisable or exercisable within 60 days of February 1, 2024, and restricted share units that shall vest within 60 days of February 1, 2024, to be outstanding and to be beneficially owned by the person holding the options or restricted share units for the purposes of computing the percentage ownership of that person but we do not treat them as outstanding for the purpose of computing the percentage ownership of any other person. The percentage of shares beneficially owned is based on 38,702,103 ordinary shares outstanding as of February 1, 2024.</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All of our shareholders, including the shareholders listed below, have the same voting rights attached to their ordinary shares. Unless otherwise noted below, each shareholder’s address is 8 Eliezer Kaplan St., Tel Aviv 6473409, Israel.</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bidi w:val="0"/>
        <w:spacing w:before="200" w:after="200"/>
        <w:jc w:val="left"/>
        <w:rPr/>
      </w:pPr>
      <w:r>
        <w:rPr/>
      </w:r>
    </w:p>
    <w:p>
      <w:pPr>
        <w:pStyle w:val="TextBody"/>
        <w:bidi w:val="0"/>
        <w:spacing w:lineRule="auto" w:line="300" w:before="0" w:after="0"/>
        <w:ind w:left="0" w:right="0" w:firstLine="709"/>
        <w:jc w:val="left"/>
        <w:rPr>
          <w:sz w:val="20"/>
        </w:rPr>
      </w:pPr>
      <w:r>
        <w:rPr>
          <w:sz w:val="20"/>
        </w:rPr>
        <w:t>A description of any material relationship that our principal shareholders have had with us or any of our affiliates since January 1, 2023 is included under Item 7.B. ”</w:t>
      </w:r>
      <w:r>
        <w:rPr>
          <w:i/>
          <w:sz w:val="20"/>
        </w:rPr>
        <w:t>Major Shareholders and Related Party Transactions—Certain relationships and related party transactions.”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6" w:name="z49225713f9024eb9b6193d4d78886d5b"/>
      <w:bookmarkStart w:id="447" w:name="z49225713f9024eb9b6193d4d78886d5b"/>
      <w:bookmarkEnd w:id="447"/>
    </w:p>
    <w:tbl>
      <w:tblPr>
        <w:tblW w:w="7940" w:type="dxa"/>
        <w:jc w:val="left"/>
        <w:tblInd w:w="0" w:type="dxa"/>
        <w:tblLayout w:type="fixed"/>
        <w:tblCellMar>
          <w:top w:w="0" w:type="dxa"/>
          <w:left w:w="0" w:type="dxa"/>
          <w:bottom w:w="28" w:type="dxa"/>
          <w:right w:w="0" w:type="dxa"/>
        </w:tblCellMar>
      </w:tblPr>
      <w:tblGrid>
        <w:gridCol w:w="5945"/>
        <w:gridCol w:w="60"/>
        <w:gridCol w:w="60"/>
        <w:gridCol w:w="980"/>
        <w:gridCol w:w="60"/>
        <w:gridCol w:w="60"/>
        <w:gridCol w:w="60"/>
        <w:gridCol w:w="440"/>
        <w:gridCol w:w="275"/>
      </w:tblGrid>
      <w:tr>
        <w:trPr/>
        <w:tc>
          <w:tcPr>
            <w:tcW w:w="5945" w:type="dxa"/>
            <w:tcBorders>
              <w:bottom w:val="single" w:sz="12" w:space="0" w:color="000000"/>
            </w:tcBorders>
            <w:vAlign w:val="center"/>
          </w:tcPr>
          <w:p>
            <w:pPr>
              <w:pStyle w:val="TableContents"/>
              <w:bidi w:val="0"/>
              <w:spacing w:lineRule="auto" w:line="300" w:before="0" w:after="0"/>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lineRule="auto" w:line="300" w:before="0" w:after="0"/>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lineRule="auto" w:line="300" w:before="0" w:after="0"/>
              <w:jc w:val="center"/>
              <w:rPr/>
            </w:pPr>
            <w:r>
              <w:rPr/>
              <w:t>%</w:t>
            </w:r>
          </w:p>
        </w:tc>
        <w:tc>
          <w:tcPr>
            <w:tcW w:w="275"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lineRule="auto" w:line="300" w:before="0" w:after="0"/>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gridSpan w:val="2"/>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lineRule="auto" w:line="240" w:before="0" w:after="0"/>
              <w:jc w:val="left"/>
              <w:rPr/>
            </w:pPr>
            <w:r>
              <w:rPr/>
              <w:t>Micha Kaufman(1)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pPr>
            <w:r>
              <w:rPr/>
              <w:t>2,757,392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7.0</w:t>
            </w:r>
          </w:p>
        </w:tc>
        <w:tc>
          <w:tcPr>
            <w:tcW w:w="275" w:type="dxa"/>
            <w:tcBorders/>
            <w:tcMar>
              <w:bottom w:w="0" w:type="dxa"/>
            </w:tcMar>
            <w:vAlign w:val="center"/>
          </w:tcPr>
          <w:p>
            <w:pPr>
              <w:pStyle w:val="TableContents"/>
              <w:bidi w:val="0"/>
              <w:spacing w:lineRule="auto" w:line="300" w:before="0" w:after="0"/>
              <w:jc w:val="left"/>
              <w:rPr/>
            </w:pPr>
            <w:r>
              <w:rPr/>
              <w:t>%</w:t>
            </w:r>
          </w:p>
        </w:tc>
      </w:tr>
      <w:tr>
        <w:trPr/>
        <w:tc>
          <w:tcPr>
            <w:tcW w:w="5945" w:type="dxa"/>
            <w:tcBorders/>
            <w:shd w:fill="CCEEFF" w:val="clear"/>
            <w:tcMar>
              <w:bottom w:w="0" w:type="dxa"/>
            </w:tcMar>
            <w:vAlign w:val="center"/>
          </w:tcPr>
          <w:p>
            <w:pPr>
              <w:pStyle w:val="TableContents"/>
              <w:bidi w:val="0"/>
              <w:spacing w:lineRule="auto" w:line="240" w:before="0" w:after="0"/>
              <w:jc w:val="left"/>
              <w:rPr/>
            </w:pPr>
            <w:r>
              <w:rPr/>
              <w:t>Ofer Katz(2)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pPr>
            <w:r>
              <w:rPr/>
              <w:t>445,598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1.1</w:t>
            </w:r>
          </w:p>
        </w:tc>
        <w:tc>
          <w:tcPr>
            <w:tcW w:w="275" w:type="dxa"/>
            <w:tcBorders/>
            <w:shd w:fill="CCEEFF" w:val="clear"/>
            <w:tcMar>
              <w:bottom w:w="0" w:type="dxa"/>
            </w:tcMar>
            <w:vAlign w:val="center"/>
          </w:tcPr>
          <w:p>
            <w:pPr>
              <w:pStyle w:val="TableContents"/>
              <w:bidi w:val="0"/>
              <w:spacing w:lineRule="auto" w:line="300" w:before="0" w:after="0"/>
              <w:jc w:val="left"/>
              <w:rPr/>
            </w:pPr>
            <w:r>
              <w:rPr/>
              <w:t>%</w:t>
            </w:r>
          </w:p>
        </w:tc>
      </w:tr>
      <w:tr>
        <w:trPr/>
        <w:tc>
          <w:tcPr>
            <w:tcW w:w="5945" w:type="dxa"/>
            <w:tcBorders/>
            <w:tcMar>
              <w:bottom w:w="0" w:type="dxa"/>
            </w:tcMar>
            <w:vAlign w:val="center"/>
          </w:tcPr>
          <w:p>
            <w:pPr>
              <w:pStyle w:val="TableContents"/>
              <w:bidi w:val="0"/>
              <w:spacing w:lineRule="auto" w:line="300" w:before="0" w:after="0"/>
              <w:jc w:val="left"/>
              <w:rPr/>
            </w:pPr>
            <w:r>
              <w:rPr/>
              <w:t>Hila Klein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275"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lineRule="auto" w:line="300" w:before="0" w:after="0"/>
              <w:jc w:val="left"/>
              <w:rPr/>
            </w:pPr>
            <w:r>
              <w:rPr/>
              <w:t>Gali Arnon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lineRule="auto" w:line="300" w:before="0" w:after="0"/>
              <w:jc w:val="left"/>
              <w:rPr/>
            </w:pPr>
            <w:r>
              <w:rPr/>
              <w:t>Matti Yahav</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275"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lineRule="auto" w:line="300" w:before="0" w:after="0"/>
              <w:jc w:val="left"/>
              <w:rPr/>
            </w:pPr>
            <w:r>
              <w:rPr/>
              <w:t>Sharon Steiner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lineRule="auto" w:line="300" w:before="0" w:after="0"/>
              <w:jc w:val="left"/>
              <w:rPr/>
            </w:pPr>
            <w:r>
              <w:rPr/>
              <w:t>Adam Fisher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275"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lineRule="auto" w:line="300" w:before="0" w:after="0"/>
              <w:jc w:val="left"/>
              <w:rPr/>
            </w:pPr>
            <w:r>
              <w:rPr/>
              <w:t>Yael Garten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lineRule="auto" w:line="300" w:before="0" w:after="0"/>
              <w:jc w:val="left"/>
              <w:rPr/>
            </w:pPr>
            <w:r>
              <w:rPr/>
              <w:t>Ron Gutler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275"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lineRule="auto" w:line="300" w:before="0" w:after="0"/>
              <w:jc w:val="left"/>
              <w:rPr/>
            </w:pPr>
            <w:r>
              <w:rPr/>
              <w:t>Gili Iohan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lineRule="auto" w:line="240" w:before="0" w:after="0"/>
              <w:jc w:val="left"/>
              <w:rPr/>
            </w:pPr>
            <w:r>
              <w:rPr/>
              <w:t>Jonathan Kolber(3)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pPr>
            <w:r>
              <w:rPr/>
              <w:t>2,933,612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7.6</w:t>
            </w:r>
          </w:p>
        </w:tc>
        <w:tc>
          <w:tcPr>
            <w:tcW w:w="275" w:type="dxa"/>
            <w:tcBorders/>
            <w:tcMar>
              <w:bottom w:w="0" w:type="dxa"/>
            </w:tcMar>
            <w:vAlign w:val="center"/>
          </w:tcPr>
          <w:p>
            <w:pPr>
              <w:pStyle w:val="TableContents"/>
              <w:bidi w:val="0"/>
              <w:spacing w:lineRule="auto" w:line="300" w:before="0" w:after="0"/>
              <w:jc w:val="left"/>
              <w:rPr/>
            </w:pPr>
            <w:r>
              <w:rPr/>
              <w:t>%</w:t>
            </w:r>
          </w:p>
        </w:tc>
      </w:tr>
      <w:tr>
        <w:trPr/>
        <w:tc>
          <w:tcPr>
            <w:tcW w:w="5945" w:type="dxa"/>
            <w:tcBorders/>
            <w:shd w:fill="CCEEFF" w:val="clear"/>
            <w:tcMar>
              <w:bottom w:w="0" w:type="dxa"/>
            </w:tcMar>
            <w:vAlign w:val="center"/>
          </w:tcPr>
          <w:p>
            <w:pPr>
              <w:pStyle w:val="TableContents"/>
              <w:bidi w:val="0"/>
              <w:spacing w:lineRule="auto" w:line="300" w:before="0" w:after="0"/>
              <w:jc w:val="left"/>
              <w:rPr/>
            </w:pPr>
            <w:r>
              <w:rPr/>
              <w:t>Nir Zohar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lineRule="auto" w:line="300" w:before="0" w:after="0"/>
              <w:jc w:val="left"/>
              <w:rPr>
                <w:b/>
              </w:rPr>
            </w:pPr>
            <w:r>
              <w:rPr>
                <w:b/>
              </w:rPr>
              <w:t>All executive officers and directors as a group (12 persons)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lineRule="auto" w:line="300" w:before="0" w:after="0"/>
              <w:jc w:val="right"/>
              <w:rPr>
                <w:b/>
              </w:rPr>
            </w:pPr>
            <w:r>
              <w:rPr>
                <w:b/>
              </w:rPr>
              <w:t>6,827,217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b/>
              </w:rPr>
            </w:pPr>
            <w:r>
              <w:rPr>
                <w:b/>
              </w:rPr>
              <w:t>16.9</w:t>
            </w:r>
          </w:p>
        </w:tc>
        <w:tc>
          <w:tcPr>
            <w:tcW w:w="275" w:type="dxa"/>
            <w:tcBorders/>
            <w:tcMar>
              <w:bottom w:w="0" w:type="dxa"/>
            </w:tcMar>
            <w:vAlign w:val="center"/>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sz w:val="20"/>
        </w:rPr>
      </w:pPr>
      <w:r>
        <w:rPr>
          <w:sz w:val="20"/>
        </w:rPr>
        <w:t>* less than 1%</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8" w:name="z4c01cb6db1354feca58f1f3462e5470e"/>
      <w:bookmarkStart w:id="449" w:name="z4c01cb6db1354feca58f1f3462e5470e"/>
      <w:bookmarkEnd w:id="449"/>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pPr>
            <w:r>
              <w:rPr/>
              <w:t>Based on information available to us, Mr. Kaufman holds 1,814,460 ordinary shares directly and 942,932 ordinary shares underlying options that are currently exercisable within 60 days of February 1, 2024, at a weighted-average exercise price of $60.19, which expire between 2025 and 2030.</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50" w:name="zd1a597247663407184ad85e0f1eff946"/>
      <w:bookmarkStart w:id="451" w:name="zd1a597247663407184ad85e0f1eff946"/>
      <w:bookmarkEnd w:id="451"/>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pPr>
            <w:r>
              <w:rPr/>
              <w:t>Based on information available to us, Mr. Katz holds 232,278 ordinary shares directly, 204,541 ordinary shares underlying options that are currently exercisable within 60 days of February 1, 2024, at a weighted-average exercise price of $72.63, which expire between 2027 and 2030, and 8,779 restricted share units that shall vest within 60 days of February 1, 2024.</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52" w:name="z900179f25e174398aac65eb2c141b8b4"/>
      <w:bookmarkStart w:id="453" w:name="z900179f25e174398aac65eb2c141b8b4"/>
      <w:bookmarkEnd w:id="453"/>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pPr>
            <w:r>
              <w:rPr/>
              <w:t>Based on information reported on a Schedule 13G/A filed on January 11, 2021 and information available to us, Mr. Kolber’s holdings represent (a) 809,835 ordinary shares held by Mr. Kolber directly, (b) 1,939,665 ordinary shares held by Anfield Ltd., over which Mr. Kolber has sole voting power, and (c) 184,112 ordinary shares held by Artemis Asset Holding Limited, on behalf of the Jonathan Kolber Bare Trust, of which Mr. Kolber is the sole beneficiary. Mr. Kolber may be deemed to have beneficial ownership of all of these ordinary shares, and his business address is 12 Abba Even Blvd, Herzliya, Israel 4672530.</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To our knowledge, other than as disclosed in the table above, our other filings with the SEC and this Annual Report, there has been no significant change in the percentage ownership held by any major shareholder since January 1, 2021. The major shareholders listed above do not have voting rights with respect to their ordinary shares that are different from the voting rights of other holders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the majority of our shares are held in book-entry form, we are not aware of the identity of all of our shareholders. As of February 1, 2024, we had 77,507 ordinary shares held by 14 U.S. resident shareholders of record, not including ​​Cede &amp; Co., the nominee of The Depository Trust Company.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54" w:name="z72ae79bf4f4146d091fd35a3f6ff71b3"/>
      <w:bookmarkStart w:id="455" w:name="B.7"/>
      <w:bookmarkStart w:id="456" w:name="z72ae79bf4f4146d091fd35a3f6ff71b3"/>
      <w:bookmarkStart w:id="457" w:name="B.7"/>
      <w:bookmarkEnd w:id="456"/>
      <w:bookmarkEnd w:id="457"/>
    </w:p>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before="0" w:after="283"/>
              <w:jc w:val="left"/>
              <w:rPr>
                <w:b/>
              </w:rPr>
            </w:pPr>
            <w:r>
              <w:rPr>
                <w:b/>
              </w:rPr>
              <w:t>B.</w:t>
            </w:r>
          </w:p>
        </w:tc>
        <w:tc>
          <w:tcPr>
            <w:tcW w:w="2825" w:type="dxa"/>
            <w:tcBorders/>
            <w:vAlign w:val="center"/>
          </w:tcPr>
          <w:p>
            <w:pPr>
              <w:pStyle w:val="TableContents"/>
              <w:bidi w:val="0"/>
              <w:spacing w:before="0" w:after="0"/>
              <w:jc w:val="left"/>
              <w:rPr>
                <w:b/>
              </w:rPr>
            </w:pPr>
            <w:r>
              <w:rPr>
                <w:b/>
              </w:rPr>
              <w:t>Related Party Transactions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is a description of our related party transactions, as defined under Item 7.B of Form 20-F, since January 1, 2023.</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Agreements with directors and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Employment agreements. </w:t>
      </w:r>
      <w:r>
        <w:rPr>
          <w:sz w:val="20"/>
        </w:rPr>
        <w:t>We entered into employment agreements with each of our executive officers. The agreements provide for the terms of each individual’s employment or service with the Company, as applicable.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Options and restricted share units</w:t>
      </w:r>
      <w:r>
        <w:rPr>
          <w:sz w:val="20"/>
        </w:rPr>
        <w:t>. Since our inception, we have granted options to purchase our ordinary shares and restricted share units to our executive officers and granted options to purchase our ordinary shares to certain of our directors. We describe our share option plans under Item 6.B. ”</w:t>
      </w:r>
      <w:r>
        <w:rPr>
          <w:i/>
          <w:sz w:val="20"/>
        </w:rPr>
        <w:t>Directors, Senior Management and Employees—Compensation—Share Option Plans.”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Exculpation, indemnification and insurance</w:t>
      </w:r>
      <w:r>
        <w:rPr>
          <w:sz w:val="20"/>
        </w:rPr>
        <w:t>. Our amended and restated articles of association permit us to exculpate, indemnify and insure our office holders to the fullest extent permitted by the Companies Law. We have entered into agreements with certain of our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these liabilities are not covered by insurance. See Item 6.C.”</w:t>
      </w:r>
      <w:r>
        <w:rPr>
          <w:i/>
          <w:sz w:val="20"/>
        </w:rPr>
        <w:t>Directors, Senior Management and Employees—Board Practices—Exculpation, insurance and indemnification of office holders.”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58" w:name="z3236390aa7234ccf91293e3041c9ca35"/>
      <w:bookmarkStart w:id="459" w:name="C.7"/>
      <w:bookmarkStart w:id="460" w:name="z3236390aa7234ccf91293e3041c9ca35"/>
      <w:bookmarkStart w:id="461" w:name="C.7"/>
      <w:bookmarkEnd w:id="460"/>
      <w:bookmarkEnd w:id="461"/>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283"/>
              <w:jc w:val="left"/>
              <w:rPr>
                <w:b/>
              </w:rPr>
            </w:pPr>
            <w:r>
              <w:rPr>
                <w:b/>
              </w:rPr>
              <w:t>C.</w:t>
            </w:r>
          </w:p>
        </w:tc>
        <w:tc>
          <w:tcPr>
            <w:tcW w:w="3350" w:type="dxa"/>
            <w:tcBorders/>
            <w:vAlign w:val="center"/>
          </w:tcPr>
          <w:p>
            <w:pPr>
              <w:pStyle w:val="TableContents"/>
              <w:bidi w:val="0"/>
              <w:spacing w:before="0" w:after="0"/>
              <w:jc w:val="left"/>
              <w:rPr>
                <w:b/>
              </w:rPr>
            </w:pPr>
            <w:r>
              <w:rPr>
                <w:b/>
              </w:rPr>
              <w:t>Interests of Experts and Counsel</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8. F</w:t>
      </w:r>
      <w:bookmarkStart w:id="462" w:name="Item8.F"/>
      <w:bookmarkEnd w:id="462"/>
      <w:r>
        <w:rPr>
          <w:b/>
          <w:sz w:val="20"/>
        </w:rPr>
        <w:t>inancial Information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63" w:name="zf9b673fe7afd483d8e107b1cd5341b48"/>
      <w:bookmarkStart w:id="464" w:name="A.8"/>
      <w:bookmarkStart w:id="465" w:name="zf9b673fe7afd483d8e107b1cd5341b48"/>
      <w:bookmarkStart w:id="466" w:name="A.8"/>
      <w:bookmarkEnd w:id="465"/>
      <w:bookmarkEnd w:id="466"/>
    </w:p>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before="0" w:after="283"/>
              <w:jc w:val="left"/>
              <w:rPr>
                <w:b/>
              </w:rPr>
            </w:pPr>
            <w:r>
              <w:rPr>
                <w:b/>
              </w:rPr>
              <w:t>A.</w:t>
            </w:r>
          </w:p>
        </w:tc>
        <w:tc>
          <w:tcPr>
            <w:tcW w:w="5945" w:type="dxa"/>
            <w:tcBorders/>
            <w:vAlign w:val="center"/>
          </w:tcPr>
          <w:p>
            <w:pPr>
              <w:pStyle w:val="TableContents"/>
              <w:bidi w:val="0"/>
              <w:spacing w:before="0" w:after="0"/>
              <w:jc w:val="left"/>
              <w:rPr>
                <w:b/>
              </w:rPr>
            </w:pPr>
            <w:r>
              <w:rPr>
                <w:b/>
              </w:rPr>
              <w:t>Consolidated Statements and Other Financial Information</w:t>
            </w:r>
          </w:p>
        </w:tc>
      </w:tr>
    </w:tbl>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See Item 18. “</w:t>
      </w:r>
      <w:r>
        <w:rPr>
          <w:i/>
          <w:sz w:val="20"/>
        </w:rPr>
        <w:t>Financial Statements</w:t>
      </w:r>
      <w:r>
        <w:rPr>
          <w:sz w:val="20"/>
        </w:rPr>
        <w:t>.”</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Legal and Arbitration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Dividend Policy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pStyle w:val="TextBody"/>
        <w:bidi w:val="0"/>
        <w:spacing w:lineRule="auto" w:line="300" w:before="0" w:after="0"/>
        <w:ind w:left="0" w:right="0" w:firstLine="720"/>
        <w:jc w:val="left"/>
        <w:rPr/>
      </w:pPr>
      <w:r>
        <w:rPr/>
      </w:r>
    </w:p>
    <w:p>
      <w:pPr>
        <w:pStyle w:val="TextBody"/>
        <w:bidi w:val="0"/>
        <w:spacing w:lineRule="auto" w:line="300" w:before="0" w:after="0"/>
        <w:ind w:left="0" w:right="0" w:firstLine="720"/>
        <w:jc w:val="left"/>
        <w:rPr>
          <w:sz w:val="20"/>
        </w:rPr>
      </w:pPr>
      <w:r>
        <w:rPr>
          <w:sz w:val="20"/>
        </w:rPr>
        <w:t>The Companies Law imposes restrictions on our ability to declare and pay dividends.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Payment of dividends may be subject to Israeli withholding taxes. See Item 10.E. “</w:t>
      </w:r>
      <w:r>
        <w:rPr>
          <w:i/>
          <w:sz w:val="20"/>
        </w:rPr>
        <w:t>Taxation—Taxation and government programs—Israeli tax considerations and government programs</w:t>
      </w:r>
      <w:r>
        <w:rPr>
          <w:sz w:val="20"/>
        </w:rPr>
        <w:t>” for additional information.</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67" w:name="z643fb65a60324241b2a8d02eec7d384d"/>
      <w:bookmarkStart w:id="468" w:name="B.8"/>
      <w:bookmarkStart w:id="469" w:name="z643fb65a60324241b2a8d02eec7d384d"/>
      <w:bookmarkStart w:id="470" w:name="B.8"/>
      <w:bookmarkEnd w:id="469"/>
      <w:bookmarkEnd w:id="470"/>
    </w:p>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before="0" w:after="283"/>
              <w:jc w:val="left"/>
              <w:rPr>
                <w:b/>
              </w:rPr>
            </w:pPr>
            <w:r>
              <w:rPr>
                <w:b/>
              </w:rPr>
              <w:t>B.</w:t>
            </w:r>
          </w:p>
        </w:tc>
        <w:tc>
          <w:tcPr>
            <w:tcW w:w="2060" w:type="dxa"/>
            <w:tcBorders/>
            <w:vAlign w:val="center"/>
          </w:tcPr>
          <w:p>
            <w:pPr>
              <w:pStyle w:val="TableContents"/>
              <w:bidi w:val="0"/>
              <w:spacing w:before="0" w:after="0"/>
              <w:jc w:val="left"/>
              <w:rPr>
                <w:b/>
              </w:rPr>
            </w:pPr>
            <w:r>
              <w:rPr>
                <w:b/>
              </w:rPr>
              <w:t>Significant Changes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9. T</w:t>
      </w:r>
      <w:bookmarkStart w:id="471" w:name="Item9.T"/>
      <w:bookmarkEnd w:id="471"/>
      <w:r>
        <w:rPr>
          <w:b/>
          <w:sz w:val="20"/>
        </w:rPr>
        <w:t>he Offer and Listing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72" w:name="z15b21a6bb1d14261843367e4a344cbb6"/>
      <w:bookmarkStart w:id="473" w:name="A.9"/>
      <w:bookmarkStart w:id="474" w:name="z15b21a6bb1d14261843367e4a344cbb6"/>
      <w:bookmarkStart w:id="475" w:name="A.9"/>
      <w:bookmarkEnd w:id="474"/>
      <w:bookmarkEnd w:id="475"/>
    </w:p>
    <w:tbl>
      <w:tblPr>
        <w:tblW w:w="2815" w:type="dxa"/>
        <w:jc w:val="left"/>
        <w:tblInd w:w="0" w:type="dxa"/>
        <w:tblLayout w:type="fixed"/>
        <w:tblCellMar>
          <w:top w:w="0" w:type="dxa"/>
          <w:left w:w="0" w:type="dxa"/>
          <w:bottom w:w="0" w:type="dxa"/>
          <w:right w:w="0" w:type="dxa"/>
        </w:tblCellMar>
      </w:tblPr>
      <w:tblGrid>
        <w:gridCol w:w="275"/>
        <w:gridCol w:w="2540"/>
      </w:tblGrid>
      <w:tr>
        <w:trPr/>
        <w:tc>
          <w:tcPr>
            <w:tcW w:w="275" w:type="dxa"/>
            <w:tcBorders/>
            <w:vAlign w:val="center"/>
          </w:tcPr>
          <w:p>
            <w:pPr>
              <w:pStyle w:val="TableContents"/>
              <w:bidi w:val="0"/>
              <w:spacing w:before="0" w:after="283"/>
              <w:jc w:val="left"/>
              <w:rPr>
                <w:b/>
              </w:rPr>
            </w:pPr>
            <w:r>
              <w:rPr>
                <w:b/>
              </w:rPr>
              <w:t>A.</w:t>
            </w:r>
          </w:p>
        </w:tc>
        <w:tc>
          <w:tcPr>
            <w:tcW w:w="2540" w:type="dxa"/>
            <w:tcBorders/>
            <w:vAlign w:val="center"/>
          </w:tcPr>
          <w:p>
            <w:pPr>
              <w:pStyle w:val="TableContents"/>
              <w:bidi w:val="0"/>
              <w:spacing w:before="0" w:after="0"/>
              <w:jc w:val="left"/>
              <w:rPr>
                <w:b/>
              </w:rPr>
            </w:pPr>
            <w:r>
              <w:rPr>
                <w:b/>
              </w:rPr>
              <w:t>Offer and Listing Details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ordinary shares commenced trading on the New York Stock Exchange on June 13, 2019 under the trading symbol “FVRR.” Prior to this, no public market existed for our ordinary shares.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76" w:name="z33d15a0f4a354ed6827f1c5a7704c429"/>
      <w:bookmarkStart w:id="477" w:name="B.9"/>
      <w:bookmarkStart w:id="478" w:name="z33d15a0f4a354ed6827f1c5a7704c429"/>
      <w:bookmarkStart w:id="479" w:name="B.9"/>
      <w:bookmarkEnd w:id="478"/>
      <w:bookmarkEnd w:id="479"/>
    </w:p>
    <w:tbl>
      <w:tblPr>
        <w:tblW w:w="2305" w:type="dxa"/>
        <w:jc w:val="left"/>
        <w:tblInd w:w="0" w:type="dxa"/>
        <w:tblLayout w:type="fixed"/>
        <w:tblCellMar>
          <w:top w:w="0" w:type="dxa"/>
          <w:left w:w="0" w:type="dxa"/>
          <w:bottom w:w="0" w:type="dxa"/>
          <w:right w:w="0" w:type="dxa"/>
        </w:tblCellMar>
      </w:tblPr>
      <w:tblGrid>
        <w:gridCol w:w="260"/>
        <w:gridCol w:w="2045"/>
      </w:tblGrid>
      <w:tr>
        <w:trPr/>
        <w:tc>
          <w:tcPr>
            <w:tcW w:w="260" w:type="dxa"/>
            <w:tcBorders/>
            <w:vAlign w:val="center"/>
          </w:tcPr>
          <w:p>
            <w:pPr>
              <w:pStyle w:val="TableContents"/>
              <w:bidi w:val="0"/>
              <w:spacing w:before="0" w:after="283"/>
              <w:jc w:val="left"/>
              <w:rPr>
                <w:b/>
              </w:rPr>
            </w:pPr>
            <w:r>
              <w:rPr>
                <w:b/>
              </w:rPr>
              <w:t>B.</w:t>
            </w:r>
          </w:p>
        </w:tc>
        <w:tc>
          <w:tcPr>
            <w:tcW w:w="2045" w:type="dxa"/>
            <w:tcBorders/>
            <w:vAlign w:val="center"/>
          </w:tcPr>
          <w:p>
            <w:pPr>
              <w:pStyle w:val="TableContents"/>
              <w:bidi w:val="0"/>
              <w:spacing w:before="0" w:after="0"/>
              <w:jc w:val="left"/>
              <w:rPr>
                <w:b/>
              </w:rPr>
            </w:pPr>
            <w:r>
              <w:rPr>
                <w:b/>
              </w:rPr>
              <w:t>Plan of Distribution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80" w:name="z39c471013d0244d5839c7437011676f8"/>
      <w:bookmarkStart w:id="481" w:name="C.9"/>
      <w:bookmarkStart w:id="482" w:name="z39c471013d0244d5839c7437011676f8"/>
      <w:bookmarkStart w:id="483" w:name="C.9"/>
      <w:bookmarkEnd w:id="482"/>
      <w:bookmarkEnd w:id="483"/>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before="0" w:after="283"/>
              <w:jc w:val="left"/>
              <w:rPr>
                <w:b/>
              </w:rPr>
            </w:pPr>
            <w:r>
              <w:rPr>
                <w:b/>
              </w:rPr>
              <w:t>C.</w:t>
            </w:r>
          </w:p>
        </w:tc>
        <w:tc>
          <w:tcPr>
            <w:tcW w:w="890" w:type="dxa"/>
            <w:tcBorders/>
            <w:vAlign w:val="center"/>
          </w:tcPr>
          <w:p>
            <w:pPr>
              <w:pStyle w:val="TableContents"/>
              <w:bidi w:val="0"/>
              <w:spacing w:before="0" w:after="0"/>
              <w:jc w:val="left"/>
              <w:rPr>
                <w:b/>
              </w:rPr>
            </w:pPr>
            <w:r>
              <w:rPr>
                <w:b/>
              </w:rPr>
              <w:t>Markets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ordinary shares commenced trading on the New York Stock Exchange on June 13, 2019 under the symbol “FVRR.”</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84" w:name="z5e77cb23a736493f8bb19d094dada07b"/>
      <w:bookmarkStart w:id="485" w:name="D.9"/>
      <w:bookmarkStart w:id="486" w:name="z5e77cb23a736493f8bb19d094dada07b"/>
      <w:bookmarkStart w:id="487" w:name="D.9"/>
      <w:bookmarkEnd w:id="486"/>
      <w:bookmarkEnd w:id="487"/>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283"/>
              <w:jc w:val="left"/>
              <w:rPr>
                <w:b/>
              </w:rPr>
            </w:pPr>
            <w:r>
              <w:rPr>
                <w:b/>
              </w:rPr>
              <w:t>D.</w:t>
            </w:r>
          </w:p>
        </w:tc>
        <w:tc>
          <w:tcPr>
            <w:tcW w:w="2120" w:type="dxa"/>
            <w:tcBorders/>
            <w:vAlign w:val="center"/>
          </w:tcPr>
          <w:p>
            <w:pPr>
              <w:pStyle w:val="TableContents"/>
              <w:bidi w:val="0"/>
              <w:spacing w:before="0" w:after="0"/>
              <w:jc w:val="left"/>
              <w:rPr>
                <w:b/>
              </w:rPr>
            </w:pPr>
            <w:r>
              <w:rPr>
                <w:b/>
              </w:rPr>
              <w:t>Selling Shareholders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88" w:name="z37e58378002c4f0faca33394bd10c9de"/>
      <w:bookmarkStart w:id="489" w:name="E.9"/>
      <w:bookmarkStart w:id="490" w:name="z37e58378002c4f0faca33394bd10c9de"/>
      <w:bookmarkStart w:id="491" w:name="E.9"/>
      <w:bookmarkEnd w:id="490"/>
      <w:bookmarkEnd w:id="491"/>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before="0" w:after="283"/>
              <w:jc w:val="left"/>
              <w:rPr>
                <w:b/>
              </w:rPr>
            </w:pPr>
            <w:r>
              <w:rPr>
                <w:b/>
              </w:rPr>
              <w:t>E.</w:t>
            </w:r>
          </w:p>
        </w:tc>
        <w:tc>
          <w:tcPr>
            <w:tcW w:w="860" w:type="dxa"/>
            <w:tcBorders/>
            <w:vAlign w:val="center"/>
          </w:tcPr>
          <w:p>
            <w:pPr>
              <w:pStyle w:val="TableContents"/>
              <w:bidi w:val="0"/>
              <w:spacing w:before="0" w:after="0"/>
              <w:jc w:val="left"/>
              <w:rPr>
                <w:b/>
              </w:rPr>
            </w:pPr>
            <w:r>
              <w:rPr>
                <w:b/>
              </w:rPr>
              <w:t>Dilution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92" w:name="z3e7c35e201c247de8637770e461294dc"/>
      <w:bookmarkStart w:id="493" w:name="F.9"/>
      <w:bookmarkStart w:id="494" w:name="z3e7c35e201c247de8637770e461294dc"/>
      <w:bookmarkStart w:id="495" w:name="F.9"/>
      <w:bookmarkEnd w:id="494"/>
      <w:bookmarkEnd w:id="495"/>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b/>
              </w:rPr>
            </w:pPr>
            <w:r>
              <w:rPr>
                <w:b/>
              </w:rPr>
              <w:t>F.</w:t>
            </w:r>
          </w:p>
        </w:tc>
        <w:tc>
          <w:tcPr>
            <w:tcW w:w="2180" w:type="dxa"/>
            <w:tcBorders/>
            <w:vAlign w:val="center"/>
          </w:tcPr>
          <w:p>
            <w:pPr>
              <w:pStyle w:val="TableContents"/>
              <w:bidi w:val="0"/>
              <w:spacing w:before="0" w:after="0"/>
              <w:jc w:val="left"/>
              <w:rPr>
                <w:b/>
              </w:rPr>
            </w:pPr>
            <w:r>
              <w:rPr>
                <w:b/>
              </w:rPr>
              <w:t>Expenses of the Issue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10. Additional Information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96" w:name="z35529601e5b14924986510a351494f31"/>
      <w:bookmarkStart w:id="497" w:name="A.10"/>
      <w:bookmarkStart w:id="498" w:name="z35529601e5b14924986510a351494f31"/>
      <w:bookmarkStart w:id="499" w:name="A.10"/>
      <w:bookmarkEnd w:id="498"/>
      <w:bookmarkEnd w:id="499"/>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A.</w:t>
            </w:r>
          </w:p>
        </w:tc>
        <w:tc>
          <w:tcPr>
            <w:tcW w:w="1445" w:type="dxa"/>
            <w:tcBorders/>
            <w:vAlign w:val="center"/>
          </w:tcPr>
          <w:p>
            <w:pPr>
              <w:pStyle w:val="TableContents"/>
              <w:bidi w:val="0"/>
              <w:spacing w:before="0" w:after="0"/>
              <w:jc w:val="left"/>
              <w:rPr>
                <w:b/>
              </w:rPr>
            </w:pPr>
            <w:r>
              <w:rPr>
                <w:b/>
              </w:rPr>
              <w:t>Share Capital</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00" w:name="ze47232130f8a42b5a40b9e2074b8b6a8"/>
      <w:bookmarkStart w:id="501" w:name="B.10"/>
      <w:bookmarkStart w:id="502" w:name="ze47232130f8a42b5a40b9e2074b8b6a8"/>
      <w:bookmarkStart w:id="503" w:name="B.10"/>
      <w:bookmarkEnd w:id="502"/>
      <w:bookmarkEnd w:id="503"/>
    </w:p>
    <w:tbl>
      <w:tblPr>
        <w:tblW w:w="4525" w:type="dxa"/>
        <w:jc w:val="left"/>
        <w:tblInd w:w="0" w:type="dxa"/>
        <w:tblLayout w:type="fixed"/>
        <w:tblCellMar>
          <w:top w:w="0" w:type="dxa"/>
          <w:left w:w="0" w:type="dxa"/>
          <w:bottom w:w="0" w:type="dxa"/>
          <w:right w:w="0" w:type="dxa"/>
        </w:tblCellMar>
      </w:tblPr>
      <w:tblGrid>
        <w:gridCol w:w="260"/>
        <w:gridCol w:w="4265"/>
      </w:tblGrid>
      <w:tr>
        <w:trPr/>
        <w:tc>
          <w:tcPr>
            <w:tcW w:w="260" w:type="dxa"/>
            <w:tcBorders/>
            <w:vAlign w:val="center"/>
          </w:tcPr>
          <w:p>
            <w:pPr>
              <w:pStyle w:val="TableContents"/>
              <w:bidi w:val="0"/>
              <w:spacing w:before="0" w:after="283"/>
              <w:jc w:val="left"/>
              <w:rPr>
                <w:b/>
              </w:rPr>
            </w:pPr>
            <w:r>
              <w:rPr>
                <w:b/>
              </w:rPr>
              <w:t>B.</w:t>
            </w:r>
          </w:p>
        </w:tc>
        <w:tc>
          <w:tcPr>
            <w:tcW w:w="4265" w:type="dxa"/>
            <w:tcBorders/>
            <w:vAlign w:val="center"/>
          </w:tcPr>
          <w:p>
            <w:pPr>
              <w:pStyle w:val="TableContents"/>
              <w:bidi w:val="0"/>
              <w:spacing w:before="0" w:after="0"/>
              <w:jc w:val="left"/>
              <w:rPr>
                <w:b/>
              </w:rPr>
            </w:pPr>
            <w:r>
              <w:rPr>
                <w:b/>
              </w:rPr>
              <w:t>Memorandum and Articles of Association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copy of our amended and restated articles of association is attached as Exhibit 1.1 to this Annual Report. Other than as set forth below, the information called for by this Item is attached as Exhibit 2.1 to this Annual Report and is incorporated by reference into this Annual Report.</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Share Capital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of December 31, 2023, we had 38,653,958 ordinary shares outstanding.</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Exchange controls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w:t>
      </w:r>
    </w:p>
    <w:p>
      <w:pPr>
        <w:pStyle w:val="HorizontalLine"/>
        <w:bidi w:val="0"/>
        <w:spacing w:before="200" w:after="200"/>
        <w:jc w:val="left"/>
        <w:rPr/>
      </w:pPr>
      <w:r>
        <w:rPr/>
      </w:r>
    </w:p>
    <w:p>
      <w:pPr>
        <w:pStyle w:val="TextBody"/>
        <w:bidi w:val="0"/>
        <w:spacing w:lineRule="auto" w:line="300" w:before="0" w:after="0"/>
        <w:jc w:val="left"/>
        <w:rPr>
          <w:b/>
          <w:i/>
          <w:sz w:val="20"/>
        </w:rPr>
      </w:pPr>
      <w:r>
        <w:rPr>
          <w:b/>
          <w:i/>
          <w:sz w:val="20"/>
        </w:rPr>
        <w:t>Shareholder meetings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serving members of our board of directors or (ii) one or more shareholders holding, in the aggregate, either (a) 5% or more of our outstanding issued shares and 1% or more of our outstanding voting power or (b) 5% or more of our outstanding voting power.</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Subject to the provisions of the Companies Law and the regulations promulgated thereunder, shareholders entitled to participate and vote at general meetings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our shareholders: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04" w:name="z6b32c60eac944ce8afbc46997b4e3c2e"/>
      <w:bookmarkStart w:id="505" w:name="z6b32c60eac944ce8afbc46997b4e3c2e"/>
      <w:bookmarkEnd w:id="505"/>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0"/>
              <w:jc w:val="left"/>
              <w:rPr/>
            </w:pPr>
            <w:r>
              <w:rPr/>
              <w:t>amendments to our articles of association;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06" w:name="z11a56f7f346c4faa954c4ddc7aa824c2"/>
      <w:bookmarkStart w:id="507" w:name="z11a56f7f346c4faa954c4ddc7aa824c2"/>
      <w:bookmarkEnd w:id="507"/>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left"/>
              <w:rPr/>
            </w:pPr>
            <w:r>
              <w:rPr/>
              <w:t>appointment, termination or the terms of service of our auditors;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08" w:name="z221ed4423c6543d8bf069caac4b93acb"/>
      <w:bookmarkStart w:id="509" w:name="z221ed4423c6543d8bf069caac4b93acb"/>
      <w:bookmarkEnd w:id="509"/>
    </w:p>
    <w:tbl>
      <w:tblPr>
        <w:tblW w:w="4713" w:type="dxa"/>
        <w:jc w:val="left"/>
        <w:tblInd w:w="0" w:type="dxa"/>
        <w:tblLayout w:type="fixed"/>
        <w:tblCellMar>
          <w:top w:w="0" w:type="dxa"/>
          <w:left w:w="0" w:type="dxa"/>
          <w:bottom w:w="0" w:type="dxa"/>
          <w:right w:w="0" w:type="dxa"/>
        </w:tblCellMar>
      </w:tblPr>
      <w:tblGrid>
        <w:gridCol w:w="38"/>
        <w:gridCol w:w="110"/>
        <w:gridCol w:w="45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left"/>
              <w:rPr/>
            </w:pPr>
            <w:r>
              <w:rPr/>
              <w:t>appointment of external directors (if applicable);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10" w:name="z23ecc8dae96b4725be40ab97f8abd80a"/>
      <w:bookmarkStart w:id="511" w:name="z23ecc8dae96b4725be40ab97f8abd80a"/>
      <w:bookmarkEnd w:id="511"/>
    </w:p>
    <w:tbl>
      <w:tblPr>
        <w:tblW w:w="4413" w:type="dxa"/>
        <w:jc w:val="left"/>
        <w:tblInd w:w="0" w:type="dxa"/>
        <w:tblLayout w:type="fixed"/>
        <w:tblCellMar>
          <w:top w:w="0" w:type="dxa"/>
          <w:left w:w="0" w:type="dxa"/>
          <w:bottom w:w="0" w:type="dxa"/>
          <w:right w:w="0" w:type="dxa"/>
        </w:tblCellMar>
      </w:tblPr>
      <w:tblGrid>
        <w:gridCol w:w="38"/>
        <w:gridCol w:w="110"/>
        <w:gridCol w:w="42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0"/>
              <w:jc w:val="left"/>
              <w:rPr/>
            </w:pPr>
            <w:r>
              <w:rPr/>
              <w:t>approval of certain related party transactions;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12" w:name="z9ab16039219d4766a4a9da8f9f0d2d65"/>
      <w:bookmarkStart w:id="513" w:name="z9ab16039219d4766a4a9da8f9f0d2d65"/>
      <w:bookmarkEnd w:id="513"/>
    </w:p>
    <w:tbl>
      <w:tblPr>
        <w:tblW w:w="5298" w:type="dxa"/>
        <w:jc w:val="left"/>
        <w:tblInd w:w="0" w:type="dxa"/>
        <w:tblLayout w:type="fixed"/>
        <w:tblCellMar>
          <w:top w:w="0" w:type="dxa"/>
          <w:left w:w="0" w:type="dxa"/>
          <w:bottom w:w="0" w:type="dxa"/>
          <w:right w:w="0" w:type="dxa"/>
        </w:tblCellMar>
      </w:tblPr>
      <w:tblGrid>
        <w:gridCol w:w="38"/>
        <w:gridCol w:w="110"/>
        <w:gridCol w:w="51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0"/>
              <w:jc w:val="left"/>
              <w:rPr/>
            </w:pPr>
            <w:r>
              <w:rPr/>
              <w:t>increases or reductions of our authorized share capital;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14" w:name="z7f9c957dab4d40ad97c6e65db7a98034"/>
      <w:bookmarkStart w:id="515" w:name="z7f9c957dab4d40ad97c6e65db7a98034"/>
      <w:bookmarkEnd w:id="515"/>
    </w:p>
    <w:tbl>
      <w:tblPr>
        <w:tblW w:w="1473" w:type="dxa"/>
        <w:jc w:val="left"/>
        <w:tblInd w:w="0" w:type="dxa"/>
        <w:tblLayout w:type="fixed"/>
        <w:tblCellMar>
          <w:top w:w="0" w:type="dxa"/>
          <w:left w:w="0" w:type="dxa"/>
          <w:bottom w:w="0" w:type="dxa"/>
          <w:right w:w="0" w:type="dxa"/>
        </w:tblCellMar>
      </w:tblPr>
      <w:tblGrid>
        <w:gridCol w:w="38"/>
        <w:gridCol w:w="110"/>
        <w:gridCol w:w="1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pPr>
            <w:r>
              <w:rPr/>
              <w:t>a merger;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16" w:name="z2fb8315c0bc7497e8baaa4656df9a425"/>
      <w:bookmarkStart w:id="517" w:name="z2fb8315c0bc7497e8baaa4656df9a425"/>
      <w:bookmarkEnd w:id="5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exercise of our board of director’s powers by a general meeting, if our board of directors is unable to exercise its powers and the exercise of any of its powers is required for our proper management.</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the approval of a merger, notice must be provided at least 35 days prior to the meeting. Under the Companies Law and our amended and restated articles of association, shareholders are not permitted to take action by way of written consent in lieu of a meeting.</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Borrowing powers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18" w:name="z9f74f7fc89144bd1a54626da12468797"/>
      <w:bookmarkStart w:id="519" w:name="C.10"/>
      <w:bookmarkStart w:id="520" w:name="z9f74f7fc89144bd1a54626da12468797"/>
      <w:bookmarkStart w:id="521" w:name="C.10"/>
      <w:bookmarkEnd w:id="520"/>
      <w:bookmarkEnd w:id="521"/>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283"/>
              <w:jc w:val="left"/>
              <w:rPr>
                <w:b/>
              </w:rPr>
            </w:pPr>
            <w:r>
              <w:rPr>
                <w:b/>
              </w:rPr>
              <w:t>C.</w:t>
            </w:r>
          </w:p>
        </w:tc>
        <w:tc>
          <w:tcPr>
            <w:tcW w:w="1970" w:type="dxa"/>
            <w:tcBorders/>
            <w:vAlign w:val="center"/>
          </w:tcPr>
          <w:p>
            <w:pPr>
              <w:pStyle w:val="TableContents"/>
              <w:bidi w:val="0"/>
              <w:spacing w:before="0" w:after="0"/>
              <w:jc w:val="left"/>
              <w:rPr>
                <w:b/>
              </w:rPr>
            </w:pPr>
            <w:r>
              <w:rPr>
                <w:b/>
              </w:rPr>
              <w:t>Material Contracts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following is a summary of each material contract, other than material contracts entered into in the ordinary course of business, to which we are or have been a party, for the two years immediately preceding the date of this Annual Report: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22" w:name="z2f97d663cb7c4a76877ebc36b3481b14"/>
      <w:bookmarkStart w:id="523" w:name="z2f97d663cb7c4a76877ebc36b3481b14"/>
      <w:bookmarkEnd w:id="5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12">
              <w:r>
                <w:rPr>
                  <w:rStyle w:val="InternetLink"/>
                  <w:u w:val="single"/>
                </w:rPr>
                <w:t>Form of Indemnification Agreement (incorporated by reference to Exhibit 4.1 to the Company’s Annual Report on Form 20-F (File No. 001-38929) filed with the SEC on February 17, 2022). See Item 6. “</w:t>
              </w:r>
            </w:hyperlink>
            <w:hyperlink r:id="rId13">
              <w:r>
                <w:rPr>
                  <w:rStyle w:val="InternetLink"/>
                  <w:i/>
                  <w:u w:val="single"/>
                </w:rPr>
                <w:t>Directors, Senior Management and Employees</w:t>
              </w:r>
            </w:hyperlink>
            <w:hyperlink r:id="rId14">
              <w:r>
                <w:rPr>
                  <w:rStyle w:val="InternetLink"/>
                  <w:u w:val="single"/>
                </w:rPr>
                <w:t>” for more information about this document.</w:t>
              </w:r>
            </w:hyperlink>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24" w:name="z8fa41c5b816b41099097ba707b535e8e"/>
      <w:bookmarkStart w:id="525" w:name="z8fa41c5b816b41099097ba707b535e8e"/>
      <w:bookmarkEnd w:id="5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15">
              <w:r>
                <w:rPr>
                  <w:rStyle w:val="InternetLink"/>
                  <w:u w:val="single"/>
                </w:rPr>
                <w:t>Compensation Policy for Directors and Officers (incorporated by reference to Exhibit 99.2 to the Company’s Form 6-K (File No. 001-38929) filed with the SEC on October 27, 2023). See Item 6. “</w:t>
              </w:r>
            </w:hyperlink>
            <w:hyperlink r:id="rId16">
              <w:r>
                <w:rPr>
                  <w:rStyle w:val="InternetLink"/>
                  <w:i/>
                  <w:u w:val="single"/>
                </w:rPr>
                <w:t>Directors, Senior Management and Employees</w:t>
              </w:r>
            </w:hyperlink>
            <w:hyperlink r:id="rId17">
              <w:r>
                <w:rPr>
                  <w:rStyle w:val="InternetLink"/>
                  <w:u w:val="single"/>
                </w:rPr>
                <w:t>” for more information about this document.</w:t>
              </w:r>
            </w:hyperlink>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26" w:name="z2fb91a5adeba442581c54cd7aa220354"/>
      <w:bookmarkStart w:id="527" w:name="z2fb91a5adeba442581c54cd7aa220354"/>
      <w:bookmarkEnd w:id="5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18">
              <w:r>
                <w:rPr>
                  <w:rStyle w:val="InternetLink"/>
                </w:rPr>
                <w:t>2011 Share Option Plan, as amended and restated (incorporated by reference to Exhibit 10.3 to the Company’s Registration Statement on Form F-1 (File No. 333-231533) filed with the SEC on May 16, 2019). See Item 6. “</w:t>
              </w:r>
            </w:hyperlink>
            <w:hyperlink r:id="rId19">
              <w:r>
                <w:rPr>
                  <w:rStyle w:val="InternetLink"/>
                  <w:i/>
                </w:rPr>
                <w:t>Directors, Senior Management and Employees</w:t>
              </w:r>
            </w:hyperlink>
            <w:hyperlink r:id="rId20">
              <w:r>
                <w:rPr>
                  <w:rStyle w:val="InternetLink"/>
                </w:rPr>
                <w:t>” for more information about this document.</w:t>
              </w:r>
            </w:hyperlink>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28" w:name="za351001d902e4bb6a1d7fa1a5ce207cc"/>
      <w:bookmarkStart w:id="529" w:name="za351001d902e4bb6a1d7fa1a5ce207cc"/>
      <w:bookmarkEnd w:id="529"/>
    </w:p>
    <w:tbl>
      <w:tblPr>
        <w:tblW w:w="99" w:type="dxa"/>
        <w:jc w:val="left"/>
        <w:tblInd w:w="0" w:type="dxa"/>
        <w:tblLayout w:type="fixed"/>
        <w:tblCellMar>
          <w:top w:w="0" w:type="dxa"/>
          <w:left w:w="0" w:type="dxa"/>
          <w:bottom w:w="0" w:type="dxa"/>
          <w:right w:w="0" w:type="dxa"/>
        </w:tblCellMar>
      </w:tblPr>
      <w:tblGrid>
        <w:gridCol w:w="38"/>
        <w:gridCol w:w="23"/>
        <w:gridCol w:w="38"/>
      </w:tblGrid>
      <w:tr>
        <w:trPr/>
        <w:tc>
          <w:tcPr>
            <w:tcW w:w="3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21">
              <w:r>
                <w:rPr>
                  <w:rStyle w:val="InternetLink"/>
                </w:rPr>
                <w:t>Amendment No. 2 to 2011 Share Option Plan (incorporated by reference to Exhibit 10.4 to the Company’s Registration Statement on Form F-1 (File No. 333-231533) filed with the SEC on May 16, 2019). See Item 6. “</w:t>
              </w:r>
            </w:hyperlink>
            <w:hyperlink r:id="rId22">
              <w:r>
                <w:rPr>
                  <w:rStyle w:val="InternetLink"/>
                  <w:i/>
                </w:rPr>
                <w:t>Directors, Senior Management and Employees</w:t>
              </w:r>
            </w:hyperlink>
            <w:hyperlink r:id="rId23">
              <w:r>
                <w:rPr>
                  <w:rStyle w:val="InternetLink"/>
                </w:rPr>
                <w:t>” 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24">
              <w:r>
                <w:rPr>
                  <w:rStyle w:val="InternetLink"/>
                </w:rPr>
                <w:t>Amendment No. 3 to 2011 Share Option Plan (incorporated by reference to Exhibit 10.5 to the Company’s Registration Statement on Form F-1 (File No. 333-231533) filed with the SEC on May 16, 2019). See Item 6. “</w:t>
              </w:r>
            </w:hyperlink>
            <w:hyperlink r:id="rId25">
              <w:r>
                <w:rPr>
                  <w:rStyle w:val="InternetLink"/>
                  <w:i/>
                </w:rPr>
                <w:t>Directors, Senior Management and Employees</w:t>
              </w:r>
            </w:hyperlink>
            <w:hyperlink r:id="rId26">
              <w:r>
                <w:rPr>
                  <w:rStyle w:val="InternetLink"/>
                </w:rPr>
                <w:t>” 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27">
              <w:r>
                <w:rPr>
                  <w:rStyle w:val="InternetLink"/>
                </w:rPr>
                <w:t>United States Sub-Plan to the 2011 Share Option Plan, as amended and restated (incorporated by reference to Exhibit 10.6 to the Company’s Registration Statement on Form F-1 (File No. 333-231533) filed with the SEC on May 16, 2019). See Item 6. “</w:t>
              </w:r>
            </w:hyperlink>
            <w:hyperlink r:id="rId28">
              <w:r>
                <w:rPr>
                  <w:rStyle w:val="InternetLink"/>
                  <w:i/>
                </w:rPr>
                <w:t>Directors, Senior Management and Employees</w:t>
              </w:r>
            </w:hyperlink>
            <w:hyperlink r:id="rId29">
              <w:r>
                <w:rPr>
                  <w:rStyle w:val="InternetLink"/>
                </w:rPr>
                <w:t>” 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30">
              <w:r>
                <w:rPr>
                  <w:rStyle w:val="InternetLink"/>
                </w:rPr>
                <w:t>Amendment No. 2 to the United States Sub-Plan to the 2011 Share Option Plan (incorporated by reference to Exhibit 10.7 to the Company’s Registration Statement on Form F-1 (File No. 333-231533) filed with the SEC on May 16, 2019). See Item 6. “</w:t>
              </w:r>
            </w:hyperlink>
            <w:hyperlink r:id="rId31">
              <w:r>
                <w:rPr>
                  <w:rStyle w:val="InternetLink"/>
                  <w:i/>
                </w:rPr>
                <w:t>Directors, Senior Management and Employees</w:t>
              </w:r>
            </w:hyperlink>
            <w:hyperlink r:id="rId32">
              <w:r>
                <w:rPr>
                  <w:rStyle w:val="InternetLink"/>
                </w:rPr>
                <w:t>” 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33">
              <w:r>
                <w:rPr>
                  <w:rStyle w:val="InternetLink"/>
                </w:rPr>
                <w:t>2019 Share Incentive Plan (incorporated by reference to Exhibit 10.8 to the Company’s Registration Statement on Form F-1 (File No. 333-231533) filed with the SEC on June 3, 2019). See Item 6. “</w:t>
              </w:r>
            </w:hyperlink>
            <w:hyperlink r:id="rId34">
              <w:r>
                <w:rPr>
                  <w:rStyle w:val="InternetLink"/>
                  <w:i/>
                </w:rPr>
                <w:t>Directors, Senior Management and Employees</w:t>
              </w:r>
            </w:hyperlink>
            <w:hyperlink r:id="rId35">
              <w:r>
                <w:rPr>
                  <w:rStyle w:val="InternetLink"/>
                </w:rPr>
                <w:t>” 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36">
              <w:r>
                <w:rPr>
                  <w:rStyle w:val="InternetLink"/>
                </w:rPr>
                <w:t>2020 Employee Share Purchase Plan (incorporated by reference to Exhibit 99.1 to the Company’s Registration Statement on Form S-8 (File No. 333- 248580) filed with the SEC on September 3, 2020). See Item 6. “</w:t>
              </w:r>
            </w:hyperlink>
            <w:hyperlink r:id="rId37">
              <w:r>
                <w:rPr>
                  <w:rStyle w:val="InternetLink"/>
                  <w:i/>
                </w:rPr>
                <w:t xml:space="preserve">Directors, Senior Management and Employees” </w:t>
              </w:r>
            </w:hyperlink>
            <w:hyperlink r:id="rId38">
              <w:r>
                <w:rPr>
                  <w:rStyle w:val="InternetLink"/>
                </w:rPr>
                <w:t>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w:anchor="Item6">
              <w:r>
                <w:rPr>
                  <w:rStyle w:val="InternetLink"/>
                </w:rPr>
                <w:t>2020 Employee Share Purchase Plan Israeli Appendix. See Item 6. “</w:t>
              </w:r>
            </w:hyperlink>
            <w:hyperlink w:anchor="Item6">
              <w:r>
                <w:rPr>
                  <w:rStyle w:val="InternetLink"/>
                  <w:i/>
                </w:rPr>
                <w:t xml:space="preserve">Directors, Senior Management and Employees” </w:t>
              </w:r>
            </w:hyperlink>
            <w:hyperlink w:anchor="Item6">
              <w:r>
                <w:rPr>
                  <w:rStyle w:val="InternetLink"/>
                </w:rPr>
                <w:t>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39">
              <w:r>
                <w:rPr>
                  <w:rStyle w:val="InternetLink"/>
                </w:rPr>
                <w:t>Indenture, dated as of October 13, 2020, by and between Fiverr International Ltd. and U.S. Bank National Association, as Trustee, and Form of 0% Convertible Senior Note due 2025 (incorporated by reference to Exhibits 4.1 and 4.2 to the Company’s Form 6-K (File No. 001-38929) filed with the SEC on October 13, 2020). See Item 5. “</w:t>
              </w:r>
            </w:hyperlink>
            <w:hyperlink r:id="rId40">
              <w:r>
                <w:rPr>
                  <w:rStyle w:val="InternetLink"/>
                  <w:i/>
                </w:rPr>
                <w:t xml:space="preserve">Operating and Financial Review and Prospects” </w:t>
              </w:r>
            </w:hyperlink>
            <w:hyperlink r:id="rId41">
              <w:r>
                <w:rPr>
                  <w:rStyle w:val="InternetLink"/>
                </w:rPr>
                <w:t>for more information about this document.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42">
              <w:r>
                <w:rPr>
                  <w:rStyle w:val="InternetLink"/>
                </w:rPr>
                <w:t>Letter Agreement, dated as of October 7, 2020, between JP Morgan Chase Bank, National Association and the Company regarding the Base Capped Call Transaction (incorporated by reference to Exhibit 10.1 to the Company’s Form 6-K (File No. 001-38929) filed with the SEC on October 13, 2020). See Item 5. “</w:t>
              </w:r>
            </w:hyperlink>
            <w:hyperlink r:id="rId43">
              <w:r>
                <w:rPr>
                  <w:rStyle w:val="InternetLink"/>
                  <w:i/>
                </w:rPr>
                <w:t>Operating and Financial Review and Prospects</w:t>
              </w:r>
            </w:hyperlink>
            <w:hyperlink r:id="rId44">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45">
              <w:r>
                <w:rPr>
                  <w:rStyle w:val="InternetLink"/>
                </w:rPr>
                <w:t>Letter Agreement, dated as of October 7, 2020, between Bank of Montreal and the Company regarding the Base Capped Call Transaction (incorporated by reference to Exhibit 10.2 to the Company’s Form 6-K (File No. 001-38929) filed with the SEC on October 13, 2020). See Item 5. “</w:t>
              </w:r>
            </w:hyperlink>
            <w:hyperlink r:id="rId46">
              <w:r>
                <w:rPr>
                  <w:rStyle w:val="InternetLink"/>
                  <w:i/>
                </w:rPr>
                <w:t>Operating and Financial Review and Prospects</w:t>
              </w:r>
            </w:hyperlink>
            <w:hyperlink r:id="rId47">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48">
              <w:r>
                <w:rPr>
                  <w:rStyle w:val="InternetLink"/>
                </w:rPr>
                <w:t>Letter Agreement, dated as of October 7, 2020, between Societe Generale and the Company regarding the Base Capped Call Transaction (incorporated by reference to Exhibit 10.3 to the Company’s Form 6-K (File No. 001-38929) filed with the SEC on October 13, 2020). See Item 5. “</w:t>
              </w:r>
            </w:hyperlink>
            <w:hyperlink r:id="rId49">
              <w:r>
                <w:rPr>
                  <w:rStyle w:val="InternetLink"/>
                  <w:i/>
                </w:rPr>
                <w:t>Operating and Financial Review and Prospects</w:t>
              </w:r>
            </w:hyperlink>
            <w:hyperlink r:id="rId50">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51">
              <w:r>
                <w:rPr>
                  <w:rStyle w:val="InternetLink"/>
                </w:rPr>
                <w:t>Letter Agreement, dated as of October 7, 2020, between Goldman Sachs &amp; Co. LLC and the Company regarding the Base Capped Call Transaction (incorporated by reference to Exhibit 10.4 to the Company’s Form 6-K (File No. 001-38929) filed with the SEC on October 13, 2020). See Item 5. “</w:t>
              </w:r>
            </w:hyperlink>
            <w:hyperlink r:id="rId52">
              <w:r>
                <w:rPr>
                  <w:rStyle w:val="InternetLink"/>
                  <w:i/>
                </w:rPr>
                <w:t>Operating and Financial Review and Prospects</w:t>
              </w:r>
            </w:hyperlink>
            <w:hyperlink r:id="rId53">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54">
              <w:r>
                <w:rPr>
                  <w:rStyle w:val="InternetLink"/>
                </w:rPr>
                <w:t>Letter Agreement, dated as of October 7, 2020, between Morgan Stanley &amp; Co. LLC and the Company regarding the Base Capped Call Transaction (incorporated by reference to Exhibit 10.5 to the Company’s Form 6-K (File No. 001-38929) filed with the SEC on October 13, 2020). See Item 5. “</w:t>
              </w:r>
            </w:hyperlink>
            <w:hyperlink r:id="rId55">
              <w:r>
                <w:rPr>
                  <w:rStyle w:val="InternetLink"/>
                  <w:i/>
                </w:rPr>
                <w:t>Operating and Financial Review and Prospects</w:t>
              </w:r>
            </w:hyperlink>
            <w:hyperlink r:id="rId56">
              <w:r>
                <w:rPr>
                  <w:rStyle w:val="InternetLink"/>
                </w:rPr>
                <w:t>” for more information about this agreement.</w:t>
              </w:r>
            </w:hyperlink>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30" w:name="z023e84e8b43549ecbb9e6d826bc1a489"/>
      <w:bookmarkStart w:id="531" w:name="z023e84e8b43549ecbb9e6d826bc1a489"/>
      <w:bookmarkEnd w:id="531"/>
    </w:p>
    <w:tbl>
      <w:tblPr>
        <w:tblW w:w="99" w:type="dxa"/>
        <w:jc w:val="left"/>
        <w:tblInd w:w="0" w:type="dxa"/>
        <w:tblLayout w:type="fixed"/>
        <w:tblCellMar>
          <w:top w:w="0" w:type="dxa"/>
          <w:left w:w="0" w:type="dxa"/>
          <w:bottom w:w="0" w:type="dxa"/>
          <w:right w:w="0" w:type="dxa"/>
        </w:tblCellMar>
      </w:tblPr>
      <w:tblGrid>
        <w:gridCol w:w="38"/>
        <w:gridCol w:w="23"/>
        <w:gridCol w:w="38"/>
      </w:tblGrid>
      <w:tr>
        <w:trPr/>
        <w:tc>
          <w:tcPr>
            <w:tcW w:w="3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57">
              <w:r>
                <w:rPr>
                  <w:rStyle w:val="InternetLink"/>
                </w:rPr>
                <w:t>Letter Agreement, dated as of October 8, 2020, between JP Morgan Chase Bank, National Association and the Company regarding the Additional Capped Call Transaction (incorporated by reference to Exhibit 10.6 to the Company’s Form 6-K (File No. 001-38929) filed with the SEC on October 13, 2020). See Item 5. “</w:t>
              </w:r>
            </w:hyperlink>
            <w:hyperlink r:id="rId58">
              <w:r>
                <w:rPr>
                  <w:rStyle w:val="InternetLink"/>
                  <w:i/>
                </w:rPr>
                <w:t>Operating and Financial Review and Prospects</w:t>
              </w:r>
            </w:hyperlink>
            <w:hyperlink r:id="rId59">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60">
              <w:r>
                <w:rPr>
                  <w:rStyle w:val="InternetLink"/>
                </w:rPr>
                <w:t>Letter Agreement, dated as of October 8, 2020, between Bank of Montreal and the Company regarding the Additional Capped Call Transaction (incorporated by reference to Exhibit 10.7 to the Company’s Form 6-K (File No. 001-38929) filed with the SEC on October 13, 2020). See Item 5. “</w:t>
              </w:r>
            </w:hyperlink>
            <w:hyperlink r:id="rId61">
              <w:r>
                <w:rPr>
                  <w:rStyle w:val="InternetLink"/>
                  <w:i/>
                </w:rPr>
                <w:t>Operating and Financial Review and Prospects</w:t>
              </w:r>
            </w:hyperlink>
            <w:hyperlink r:id="rId62">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63">
              <w:r>
                <w:rPr>
                  <w:rStyle w:val="InternetLink"/>
                </w:rPr>
                <w:t>Letter Agreement, dated as of October 8, 2020, between Societe Generale and the Company regarding the Additional Capped Call Transaction (incorporated by reference to Exhibit 10.8 to the Company’s Form 6-K (File No. 001-38929) filed with the SEC on October 13, 2020). See Item 5.”</w:t>
              </w:r>
            </w:hyperlink>
            <w:hyperlink r:id="rId64">
              <w:r>
                <w:rPr>
                  <w:rStyle w:val="InternetLink"/>
                  <w:i/>
                </w:rPr>
                <w:t>Operating and Financial Review and Prospects</w:t>
              </w:r>
            </w:hyperlink>
            <w:hyperlink r:id="rId65">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66">
              <w:r>
                <w:rPr>
                  <w:rStyle w:val="InternetLink"/>
                </w:rPr>
                <w:t>Letter Agreement, dated as of October 8, 2020, between Goldman Sachs &amp; Co. LLC and the Company regarding the Additional Capped Call Transaction (incorporated by reference to Exhibit 10.9 to the Company’s Form 6-K (File No. 001-38929) filed with the SEC on October 13, 2020). See Item 5. “</w:t>
              </w:r>
            </w:hyperlink>
            <w:hyperlink r:id="rId67">
              <w:r>
                <w:rPr>
                  <w:rStyle w:val="InternetLink"/>
                  <w:i/>
                </w:rPr>
                <w:t>Operating and Financial Review and Prospects</w:t>
              </w:r>
            </w:hyperlink>
            <w:hyperlink r:id="rId68">
              <w:r>
                <w:rPr>
                  <w:rStyle w:val="InternetLink"/>
                </w:rPr>
                <w:t>” for more information about this agreement.</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hyperlink r:id="rId69">
              <w:r>
                <w:rPr>
                  <w:rStyle w:val="InternetLink"/>
                </w:rPr>
                <w:t>Letter Agreement, dated as of October 8, 2020, between Morgan Stanley &amp; Co. LLC and the Company regarding the Additional Capped Call Transaction (incorporated by reference to Exhibit 10.10 to the Company’s Form 6-K (File No. 001-38929) filed with the SEC on October 13, 2020). See Item 5. “</w:t>
              </w:r>
            </w:hyperlink>
            <w:hyperlink r:id="rId70">
              <w:r>
                <w:rPr>
                  <w:rStyle w:val="InternetLink"/>
                  <w:i/>
                </w:rPr>
                <w:t>Operating and Financial Review and Prospects</w:t>
              </w:r>
            </w:hyperlink>
            <w:hyperlink r:id="rId71">
              <w:r>
                <w:rPr>
                  <w:rStyle w:val="InternetLink"/>
                </w:rPr>
                <w:t>” for more information about this agreement.</w:t>
              </w:r>
            </w:hyperlink>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32" w:name="z3c112e5d4ed2481c9373e214655332ca"/>
      <w:bookmarkStart w:id="533" w:name="D.10"/>
      <w:bookmarkStart w:id="534" w:name="z3c112e5d4ed2481c9373e214655332ca"/>
      <w:bookmarkStart w:id="535" w:name="D.10"/>
      <w:bookmarkEnd w:id="534"/>
      <w:bookmarkEnd w:id="535"/>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283"/>
              <w:jc w:val="left"/>
              <w:rPr>
                <w:b/>
              </w:rPr>
            </w:pPr>
            <w:r>
              <w:rPr>
                <w:b/>
              </w:rPr>
              <w:t>D.</w:t>
            </w:r>
          </w:p>
        </w:tc>
        <w:tc>
          <w:tcPr>
            <w:tcW w:w="1985" w:type="dxa"/>
            <w:tcBorders/>
            <w:vAlign w:val="center"/>
          </w:tcPr>
          <w:p>
            <w:pPr>
              <w:pStyle w:val="TableContents"/>
              <w:bidi w:val="0"/>
              <w:spacing w:before="0" w:after="0"/>
              <w:jc w:val="left"/>
              <w:rPr>
                <w:b/>
              </w:rPr>
            </w:pPr>
            <w:r>
              <w:rPr>
                <w:b/>
              </w:rPr>
              <w:t>Exchange Controls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36" w:name="z5ca43d7e014848d0833a342bce397657"/>
      <w:bookmarkStart w:id="537" w:name="E.10"/>
      <w:bookmarkStart w:id="538" w:name="z5ca43d7e014848d0833a342bce397657"/>
      <w:bookmarkStart w:id="539" w:name="E.10"/>
      <w:bookmarkEnd w:id="538"/>
      <w:bookmarkEnd w:id="539"/>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b/>
              </w:rPr>
            </w:pPr>
            <w:r>
              <w:rPr>
                <w:b/>
              </w:rPr>
              <w:t>E.</w:t>
            </w:r>
          </w:p>
        </w:tc>
        <w:tc>
          <w:tcPr>
            <w:tcW w:w="950" w:type="dxa"/>
            <w:tcBorders/>
            <w:vAlign w:val="center"/>
          </w:tcPr>
          <w:p>
            <w:pPr>
              <w:pStyle w:val="TableContents"/>
              <w:bidi w:val="0"/>
              <w:spacing w:before="0" w:after="0"/>
              <w:jc w:val="left"/>
              <w:rPr>
                <w:b/>
              </w:rPr>
            </w:pPr>
            <w:r>
              <w:rPr>
                <w:b/>
              </w:rPr>
              <w:t>Taxation</w:t>
            </w:r>
          </w:p>
        </w:tc>
      </w:tr>
    </w:tbl>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Taxation and government programs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Israeli tax considerations and government programs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is a brief summary of the material Israeli tax laws applicable to us, and certain Israeli Government programs that benefit us. This section also contains a discussion of material Israeli tax consequences concerning the ownership and disposition of our ordinary shares.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General corporate tax structure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Israeli companies are generally subject to corporate tax. The corporate tax rate in 2018 and thereafter is 23% of their taxable income. However, the effective tax rate payable by a company that derives income from an Approved Enterprise, a Preferred Enterprise, a Beneficiary Enterprise or a Technology Enterprise (as discussed below) may be considerably less. Capital gains derived by an Israeli company are generally subject to the ordinary corporate tax rate.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bidi w:val="0"/>
        <w:spacing w:before="200" w:after="200"/>
        <w:jc w:val="left"/>
        <w:rPr/>
      </w:pPr>
      <w:r>
        <w:rPr/>
      </w:r>
    </w:p>
    <w:p>
      <w:pPr>
        <w:pStyle w:val="TextBody"/>
        <w:bidi w:val="0"/>
        <w:spacing w:lineRule="auto" w:line="300" w:before="0" w:after="0"/>
        <w:jc w:val="left"/>
        <w:rPr>
          <w:i/>
          <w:sz w:val="20"/>
        </w:rPr>
      </w:pPr>
      <w:r>
        <w:rPr>
          <w:i/>
          <w:sz w:val="20"/>
        </w:rPr>
        <w:t>Law for the Encouragement of Industry (Taxes), 5729-1969</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Industry Encouragement Law defines an “Industrial Company” as an Israeli resident-company, of which 90% or more of its income in any tax year, other than income from certain government loans, is derived from an “Industrial Enterprise” owned by it and located in Israel or in the “Area”, in accordance with the definition under section 3A of the Israeli Income Tax Ordinance (New Version) 1961, or the Ordinance. An “Industrial Enterprise” is defined as an enterprise which is held by an Industrial Company whose principal activity in a given tax year is industrial production.</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following corporate tax benefits, among others, are available to Industrial Companies: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0" w:name="ze2849164c3024164b456e56c7d065db1"/>
      <w:bookmarkStart w:id="541" w:name="ze2849164c3024164b456e56c7d065db1"/>
      <w:bookmarkEnd w:id="5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amortization of the cost of purchased patent, rights to use a patent, and know how, which are used for the development or advancement of the Industrial Enterprise, over an eight-year period, commencing on the year in which such rights were first exercised;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2" w:name="z84d6a55d60f14e1ea0830117d6b0a918"/>
      <w:bookmarkStart w:id="543" w:name="z84d6a55d60f14e1ea0830117d6b0a918"/>
      <w:bookmarkEnd w:id="5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under limited conditions, an election to file consolidated tax returns with controlled Israeli Industrial Companies;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4" w:name="ze97ad7becfd344908584a852c7d875dd"/>
      <w:bookmarkStart w:id="545" w:name="ze97ad7becfd344908584a852c7d875dd"/>
      <w:bookmarkEnd w:id="5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expenses related to a public offering are deductible in equal amounts over three years commencing on the year of the offering.</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Eligibility for benefits under the Industry Encouragement Law is not contingent upon approval of any governmental authority.</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Tax benefits and grants for research and development</w:t>
      </w:r>
    </w:p>
    <w:p>
      <w:pPr>
        <w:pStyle w:val="TextBody"/>
        <w:bidi w:val="0"/>
        <w:spacing w:lineRule="auto" w:line="300" w:before="0" w:after="0"/>
        <w:jc w:val="left"/>
        <w:rPr/>
      </w:pPr>
      <w:r>
        <w:rPr/>
        <w:t> </w:t>
      </w:r>
    </w:p>
    <w:p>
      <w:pPr>
        <w:pStyle w:val="TextBody"/>
        <w:bidi w:val="0"/>
        <w:spacing w:lineRule="auto" w:line="300" w:before="0" w:after="0"/>
        <w:ind w:left="0" w:right="0" w:firstLine="709"/>
        <w:jc w:val="both"/>
        <w:rPr>
          <w:sz w:val="20"/>
        </w:rPr>
      </w:pPr>
      <w:r>
        <w:rPr>
          <w:sz w:val="20"/>
        </w:rPr>
        <w:t>Israeli tax law allows, under certain conditions, a tax deduction for expenditures, including capital expenditures, in scientific research in the fields of industry, agriculture, transportation or energy, for the year in which they are incurred. Expenditures are deemed related to scientific research and development projects, if:</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6" w:name="z127a62b303f345519908f4f169ddebc2"/>
      <w:bookmarkStart w:id="547" w:name="z127a62b303f345519908f4f169ddebc2"/>
      <w:bookmarkEnd w:id="5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expenditures are approved by the relevant Israeli government ministry, and the Israeli Innovation Authority;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8" w:name="zb5583a96634149b7a7a187658a91a1dc"/>
      <w:bookmarkStart w:id="549" w:name="zb5583a96634149b7a7a187658a91a1dc"/>
      <w:bookmarkEnd w:id="549"/>
    </w:p>
    <w:tbl>
      <w:tblPr>
        <w:tblW w:w="7578" w:type="dxa"/>
        <w:jc w:val="left"/>
        <w:tblInd w:w="0" w:type="dxa"/>
        <w:tblLayout w:type="fixed"/>
        <w:tblCellMar>
          <w:top w:w="0" w:type="dxa"/>
          <w:left w:w="0" w:type="dxa"/>
          <w:bottom w:w="0" w:type="dxa"/>
          <w:right w:w="0" w:type="dxa"/>
        </w:tblCellMar>
      </w:tblPr>
      <w:tblGrid>
        <w:gridCol w:w="38"/>
        <w:gridCol w:w="110"/>
        <w:gridCol w:w="74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0"/>
              <w:jc w:val="left"/>
              <w:rPr/>
            </w:pPr>
            <w:r>
              <w:rPr/>
              <w:t>The research and development must be for the promotion of the company;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50" w:name="z653407da254e48a683cdd1927976bc67"/>
      <w:bookmarkStart w:id="551" w:name="z653407da254e48a683cdd1927976bc67"/>
      <w:bookmarkEnd w:id="551"/>
    </w:p>
    <w:tbl>
      <w:tblPr>
        <w:tblW w:w="10053" w:type="dxa"/>
        <w:jc w:val="left"/>
        <w:tblInd w:w="0" w:type="dxa"/>
        <w:tblLayout w:type="fixed"/>
        <w:tblCellMar>
          <w:top w:w="0" w:type="dxa"/>
          <w:left w:w="0" w:type="dxa"/>
          <w:bottom w:w="0" w:type="dxa"/>
          <w:right w:w="0" w:type="dxa"/>
        </w:tblCellMar>
      </w:tblPr>
      <w:tblGrid>
        <w:gridCol w:w="38"/>
        <w:gridCol w:w="110"/>
        <w:gridCol w:w="9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0"/>
              <w:jc w:val="left"/>
              <w:rPr/>
            </w:pPr>
            <w:r>
              <w:rPr/>
              <w:t>The research and development is carried out by or on behalf of the company seeking such tax deduction.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that are unqualified under the conditions above are deductible in equal amounts over three years.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Every tax year, the company applies to the Israel Innovation Authority for approval to allow a tax deduction for all or most of research and development expenses during the year incurred. There can be no assurance that such application will be accepted.</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Law for the Encouragement of Capital Investments, 5719-1959</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Law for the Encouragement of Capital Investments, 5719-1959, generally referred to as the Investment Law, provides certain incentives for capital investments in production facilities (or other eligible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Investment Law was significantly amended effective as of January 1, 2011, or the 2011 Amendment, and as of January 1, 2017, or the 2017 Amendment. The 2011 Amendment introduced new benefits to replace those granted in accordance with the provisions of the Investment Law in effect prior to the 2011 Amendment. The 2017 Amendment introduces new benefits for Technological Enterprises, alongside the existing tax benefits.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p>
      <w:pPr>
        <w:pStyle w:val="HorizontalLine"/>
        <w:bidi w:val="0"/>
        <w:spacing w:before="200" w:after="200"/>
        <w:jc w:val="left"/>
        <w:rPr/>
      </w:pPr>
      <w:r>
        <w:rPr/>
      </w:r>
    </w:p>
    <w:p>
      <w:pPr>
        <w:pStyle w:val="TextBody"/>
        <w:bidi w:val="0"/>
        <w:spacing w:lineRule="auto" w:line="300" w:before="0" w:after="0"/>
        <w:jc w:val="left"/>
        <w:rPr>
          <w:i/>
          <w:sz w:val="20"/>
        </w:rPr>
      </w:pPr>
      <w:r>
        <w:rPr>
          <w:i/>
          <w:sz w:val="20"/>
        </w:rPr>
        <w:t>Tax benefits subsequent to the 2005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An enterprise that qualifies under the new provisions is referred to as a “Beneficiary Enterprise”, rather than “Approved Enterprise”. The 2005 Amendment provides that the approval of the Investment Center is required only for Approved Enterprises that receive cash grants. As a result, a company is no longer required to obtain the advance approval of the Investment Center in order to receive the tax benefits. Rather, a company may claim the tax benefits offered by the Investment Law directly in its tax returns, provided that its facilities meet the criteria for tax benefits set forth in the 2005 Amendment. A company that has a Beneficiary Enterprise may, at its discretion, approach the Israel Tax Authority for a pre-ruling confirming that it is in compliance with the provisions of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order to receive the tax benefits, a company must make an investment which meets all of the conditions, including exceeding a minimum entitling investment amount, set forth in the Investment Law. Such investment allows a company to receive “Beneficiary Enterprise” status, and may be made over a period of no more than three years ending at the end of the year in which the company chose to have the tax benefits apply to its Beneficiary Enterprise, referred to as the “Year of Election.”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extent of the tax benefits available under the 2005 Amendment to qualifying income of a Beneficiary Enterprise depend on, among other things, the geographic location in Israel of the Beneficiary Enterprise. The location will also determine the period for which tax benefits are available. In the event that the Company is profitable for tax purposes, such tax benefits include an exemption from corporate tax on undistributed income for a period of between two to ten years, depending on the geographic location of the Beneficiary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Beneficiary Enterprise during the tax exemption period will be subject to corporate tax in respect of the gross amount of the dividend (to reflect the pre-tax income that it would have had to earn in order to distribute the dividend) which would have otherwise been applicable, or a lower rate in the case of a qualified foreign investment company which is at least 49% owned by non-Israeli residents. In addition, dividends paid to Israeli shareholders out of income attributed to a Beneficiary Enterprise are generally subject to withholding tax at source at the rate of 15% (in the case of non-Israeli shareholders – subject to the receipt in advance of a valid certificate from the ITA allowing for a reduced tax rate, 15%), or such lower rate as may be provided under any applicable tax treaty.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benefits available to a Beneficiary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Company has a “Beneficiary Enterprise” status and has elected 2012 to be its “Year of Election” to be eligible as a “Beneficiary Enterprise.” The benefit period begins in the year in which taxable income is first earned, limited to 12 years from the “Year of Election.”</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Tax benefits under the 2011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2011 Amendment cancelled the availability of the benefits granted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 Pursuant to the 2011 Amendment, a Preferred Company was entitled to a reduced corporate tax rate of 16% and 7.5% (zone A), respectively, in 2017 and thereafter.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Dividends distributed to Israeli shareholders from income which is attributed to a “Preferred Enterprise” are generally subject to withholding tax at source at the rate of 20% (in the case of non-Israeli shareholders - subject to the receipt in advance of a valid certificate from the ITA allowing for a reduced tax rate, 20% or such lower rate as may be provided under the provisions of any applicable double tax treaty). However, if such dividends are paid to an Israeli company, no tax is required to be withheld (although, if such dividends are subsequently distributed to individuals or a non-Israeli company, the aforesaid will apply).</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New tax benefits under the 2017 amendment that became effective on January 1, 2017</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2017 Amendment was enacted as part of the Economic Efficiency Law that was published on December 29, 2016, and is effective as of January 1, 2017. The 2017 Amendment provides new tax benefits for two types of “Technology Enterprises,” as described below, and is in addition to the other existing tax beneficial programs under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Innovation previously known as the Israeli Office of the Chief Scientist), to which we refer as IIA.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2017 Amendment further provides that a technology company satisfying certain conditions (group turnover of at least NIS 10 billion)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to individuals or a non-Israeli company, the aforesaid will apply). If such dividends are distributed to a foreign company that holds solely or together with other foreign companies 90% or more in the Israeli company and other conditions are met, the withholding tax rate will be 4%.</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 w:hAnsi="Times New Roman"/>
          <w:color w:val="000000"/>
          <w:sz w:val="20"/>
        </w:rPr>
      </w:pPr>
      <w:r>
        <w:rPr>
          <w:rFonts w:ascii="Times New Roman" w:hAnsi="Times New Roman"/>
          <w:color w:val="000000"/>
          <w:sz w:val="20"/>
        </w:rPr>
        <w:t>We evaluated the impact of the 2017 Amendment and the degree to which we will qualify as a Preferred Technology Enterprise, the amount of Preferred Technology Income that we may have and other benefits that we may receive from the 2017 Amendment. We expect to utilize it starting from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2022, the Company reported profit for tax purposes. According to the Ordinance, current business profits may be offset against carryforward business losses. The Company has offset all of its profit for tax in the year 2022 against such carryforward losses.</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In 2023, the Company expects to report a profit for tax purposes and will utilize tax exempted as a “beneficiary enterprise”. However, this tax exemption will be revoked if a dividend (or deemed dividend) is distributed, in which case a corporate tax rate of 23% will be applied.</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Taxation of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i/>
          <w:sz w:val="20"/>
        </w:rPr>
        <w:t>Capital gains taxes applicable to non-Israeli resident shareholders</w:t>
      </w:r>
      <w:r>
        <w:rPr>
          <w:sz w:val="20"/>
        </w:rPr>
        <w:t>. A non-Israeli resident who derives capital gains from the sale of shares in an Israeli resident company that were purchased after the company was listed for trading on a stock exchange outside of Israel, will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Additionally, a sale of securities by a non-Israeli resident may be exempt from Israeli capital gains tax under the provisions of an applicable tax treaty. For example, under the Convention Between the Government of the United States of America and the Government of the State of Israel with respect to Taxes on Income, as amended, or the U.S. Israel Tax Treaty, the sale, exchange or other disposition of shares by a shareholder who is a United States resident (for purposes of the treaty) holding the shares as a capital asset and is entitled to claim the benefits afforded to such a resident by the U.S. Israel Tax Treaty, or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 month period preceding the disposition, subject to certain conditions; or (v) such Treaty U.S. Resident is an individual and was present in Israel for 183 days or more during the relevant taxable year.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(i.e., resident certificate or other documentation).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i/>
          <w:sz w:val="20"/>
        </w:rPr>
        <w:t>Taxation of non-Israeli shareholders on receipt of dividends</w:t>
      </w:r>
      <w:r>
        <w:rPr>
          <w:sz w:val="20"/>
        </w:rPr>
        <w:t>. Non-Israeli residents (either individuals or corporations) are generally subject to Israeli income tax on the receipt of dividends paid on our ordinary shares at the rate of 25%, which tax will be withheld at source, unless relief is provided in a treaty between Israel and the shareholder’s country of residence (subject to the receipt in advance of a valid certificate from the ITA allowing for a reduced tax rate). With respect to a person who is a “substantial shareholder” at the time of receiving the dividend or at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Such dividends are generally subject to Israeli withholding tax at a rate of 25% so long as the shares are registered with a nominee company (whether the recipient is a substantial shareholder or not) and, subject to the receipt in advance of a valid certificate from the ITA allowing for a reduced tax rate, 15% if the dividend is distributed from income attributed to an Approved Enterprise or a Beneficiary Enterprise and 20% if the dividend is distributed from income attributed to a Preferred Enterprise or Preferred Technology Enterprise or such lower rate as may be provided in an applicable tax treaty. For example, under the United States Israel Tax Treaty, the maximum rate of tax withheld at source in Israel on dividends paid to a holder of our ordinary shares who is a Treaty U.S. Resident is 25%. However, generally, the maximum rate of withholding tax on dividends, not generated by a Preferred Enterprise or Beneficiary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Notwithstanding the foregoing, dividends distributed from income attributed to an Approved Enterprise, Beneficiary Enterprise or Preferred Enterprise are not entitled to such reduction under the tax treaty but are subject to a withholding tax rate of 15% for a shareholder that is a U.S. corporation, provided that the conditions related to 10% or more holding and to our gross income for the previous year (as set forth in the previous sentence) is met. If the dividend is attributable partly to income derived from an Approved Enterprise, Benefited Enterprise or Preferred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i/>
          <w:sz w:val="20"/>
        </w:rPr>
        <w:t>Surtax. </w:t>
      </w:r>
      <w:r>
        <w:rPr>
          <w:sz w:val="20"/>
        </w:rPr>
        <w:t>Subject to the provisions of an applicable tax treaty, individuals who are subject to tax in Israel (whether any such individual is an Israeli resident or non-Israeli resident) are also subject to an additional tax at a rate of 3% on annual income (including, but not limited to, dividends, interest and capital gain) exceeding NIS 698,280 for 2023, which amount is linked to the annual change in the Israeli consumer price index.</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i/>
          <w:sz w:val="20"/>
        </w:rPr>
        <w:t>Estate and Gift Tax. </w:t>
      </w:r>
      <w:r>
        <w:rPr>
          <w:sz w:val="20"/>
        </w:rPr>
        <w:t>Israeli law presently does not impose estate or gift taxes.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p>
      <w:pPr>
        <w:pStyle w:val="HorizontalLine"/>
        <w:bidi w:val="0"/>
        <w:spacing w:before="200" w:after="200"/>
        <w:jc w:val="left"/>
        <w:rPr/>
      </w:pPr>
      <w:r>
        <w:rPr/>
      </w:r>
    </w:p>
    <w:p>
      <w:pPr>
        <w:pStyle w:val="TextBody"/>
        <w:bidi w:val="0"/>
        <w:spacing w:lineRule="auto" w:line="300" w:before="0" w:after="0"/>
        <w:ind w:left="0" w:right="0" w:firstLine="720"/>
        <w:jc w:val="left"/>
        <w:rPr/>
      </w:pPr>
      <w:r>
        <w:rPr/>
      </w:r>
    </w:p>
    <w:p>
      <w:pPr>
        <w:pStyle w:val="TextBody"/>
        <w:bidi w:val="0"/>
        <w:spacing w:lineRule="auto" w:line="300" w:before="0" w:after="0"/>
        <w:jc w:val="left"/>
        <w:rPr>
          <w:b/>
          <w:i/>
          <w:sz w:val="20"/>
        </w:rPr>
      </w:pPr>
      <w:r>
        <w:rPr>
          <w:b/>
          <w:i/>
          <w:sz w:val="20"/>
        </w:rPr>
        <w:t>United States federal income taxation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is a description of the material U.S. federal income tax consequences of the acquisition, ownership and disposition of our ordinary shares. This description addresses only the U.S. federal income tax consequences to U.S. Holders (as defined below) that hold our ordinary shares as capital assets within the meaning of Section 1221 of the Internal Revenue Code of 1986, as amended, or the Code, and that have the U.S. dollar as their functional currency. This discussion is based upon the Code, applicable U.S. Treasury regulations, administrative pronouncements and judicial decisions, in each case as in effect on the date hereof, all of which are subject to change (possibly with retroactive effect). No ruling will be requested from the Internal Revenue Service, or the IRS, regarding the tax consequences of the acquisition, ownership or disposition of the ordinary shares, and there can be no assurance that the IRS will agree with the discussion set out below. This summary does not address any U.S. tax consequences other than U.S. federal income tax consequences (e.g., the estate and gift tax or the Medicare tax on net investment income) and does not address any state, local or non-U.S. tax consequences.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This description does not address tax considerations applicable to holders that may be subject to special tax rules, including, without limitation: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52" w:name="z9d90c229bd214257b18d2b307f514646"/>
      <w:bookmarkStart w:id="553" w:name="z9d90c229bd214257b18d2b307f514646"/>
      <w:bookmarkEnd w:id="553"/>
    </w:p>
    <w:tbl>
      <w:tblPr>
        <w:tblW w:w="5088" w:type="dxa"/>
        <w:jc w:val="left"/>
        <w:tblInd w:w="0" w:type="dxa"/>
        <w:tblLayout w:type="fixed"/>
        <w:tblCellMar>
          <w:top w:w="0" w:type="dxa"/>
          <w:left w:w="0" w:type="dxa"/>
          <w:bottom w:w="0" w:type="dxa"/>
          <w:right w:w="0" w:type="dxa"/>
        </w:tblCellMar>
      </w:tblPr>
      <w:tblGrid>
        <w:gridCol w:w="38"/>
        <w:gridCol w:w="110"/>
        <w:gridCol w:w="4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left"/>
              <w:rPr/>
            </w:pPr>
            <w:r>
              <w:rPr/>
              <w:t>banks, financial institutions or insurance companies;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54" w:name="zd828f6cba0184d078d96570d8a8b2852"/>
      <w:bookmarkStart w:id="555" w:name="zd828f6cba0184d078d96570d8a8b2852"/>
      <w:bookmarkEnd w:id="555"/>
    </w:p>
    <w:tbl>
      <w:tblPr>
        <w:tblW w:w="6138" w:type="dxa"/>
        <w:jc w:val="left"/>
        <w:tblInd w:w="0" w:type="dxa"/>
        <w:tblLayout w:type="fixed"/>
        <w:tblCellMar>
          <w:top w:w="0" w:type="dxa"/>
          <w:left w:w="0" w:type="dxa"/>
          <w:bottom w:w="0" w:type="dxa"/>
          <w:right w:w="0" w:type="dxa"/>
        </w:tblCellMar>
      </w:tblPr>
      <w:tblGrid>
        <w:gridCol w:w="38"/>
        <w:gridCol w:w="110"/>
        <w:gridCol w:w="5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left"/>
              <w:rPr/>
            </w:pPr>
            <w:r>
              <w:rPr/>
              <w:t>real estate investment trusts or regulated investment companies;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56" w:name="zdf2fe91adb6e48a2be58dc10bdf59a9f"/>
      <w:bookmarkStart w:id="557" w:name="zdf2fe91adb6e48a2be58dc10bdf59a9f"/>
      <w:bookmarkEnd w:id="557"/>
    </w:p>
    <w:tbl>
      <w:tblPr>
        <w:tblW w:w="1923" w:type="dxa"/>
        <w:jc w:val="left"/>
        <w:tblInd w:w="0" w:type="dxa"/>
        <w:tblLayout w:type="fixed"/>
        <w:tblCellMar>
          <w:top w:w="0" w:type="dxa"/>
          <w:left w:w="0" w:type="dxa"/>
          <w:bottom w:w="0" w:type="dxa"/>
          <w:right w:w="0" w:type="dxa"/>
        </w:tblCellMar>
      </w:tblPr>
      <w:tblGrid>
        <w:gridCol w:w="38"/>
        <w:gridCol w:w="110"/>
        <w:gridCol w:w="1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0"/>
              <w:jc w:val="left"/>
              <w:rPr/>
            </w:pPr>
            <w:r>
              <w:rPr/>
              <w:t>dealers or brokers;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58" w:name="z1062bc8a274b49aea707c31b3d5fa5fe"/>
      <w:bookmarkStart w:id="559" w:name="z1062bc8a274b49aea707c31b3d5fa5fe"/>
      <w:bookmarkEnd w:id="559"/>
    </w:p>
    <w:tbl>
      <w:tblPr>
        <w:tblW w:w="3498" w:type="dxa"/>
        <w:jc w:val="left"/>
        <w:tblInd w:w="0" w:type="dxa"/>
        <w:tblLayout w:type="fixed"/>
        <w:tblCellMar>
          <w:top w:w="0" w:type="dxa"/>
          <w:left w:w="0" w:type="dxa"/>
          <w:bottom w:w="0" w:type="dxa"/>
          <w:right w:w="0" w:type="dxa"/>
        </w:tblCellMar>
      </w:tblPr>
      <w:tblGrid>
        <w:gridCol w:w="38"/>
        <w:gridCol w:w="110"/>
        <w:gridCol w:w="3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0"/>
              <w:jc w:val="left"/>
              <w:rPr/>
            </w:pPr>
            <w:r>
              <w:rPr/>
              <w:t>traders that elect to mark to market;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0" w:name="zcce9b4f60fdd422da25803ca75ba283f"/>
      <w:bookmarkStart w:id="561" w:name="zcce9b4f60fdd422da25803ca75ba283f"/>
      <w:bookmarkEnd w:id="561"/>
    </w:p>
    <w:tbl>
      <w:tblPr>
        <w:tblW w:w="3573" w:type="dxa"/>
        <w:jc w:val="left"/>
        <w:tblInd w:w="0" w:type="dxa"/>
        <w:tblLayout w:type="fixed"/>
        <w:tblCellMar>
          <w:top w:w="0" w:type="dxa"/>
          <w:left w:w="0" w:type="dxa"/>
          <w:bottom w:w="0" w:type="dxa"/>
          <w:right w:w="0" w:type="dxa"/>
        </w:tblCellMar>
      </w:tblPr>
      <w:tblGrid>
        <w:gridCol w:w="38"/>
        <w:gridCol w:w="110"/>
        <w:gridCol w:w="3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0"/>
              <w:jc w:val="left"/>
              <w:rPr/>
            </w:pPr>
            <w:r>
              <w:rPr/>
              <w:t>tax exempt entities or organizations;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2" w:name="z58ed5ea317054795b81c6cd7e1a9ed99"/>
      <w:bookmarkStart w:id="563" w:name="z58ed5ea317054795b81c6cd7e1a9ed99"/>
      <w:bookmarkEnd w:id="563"/>
    </w:p>
    <w:tbl>
      <w:tblPr>
        <w:tblW w:w="4233" w:type="dxa"/>
        <w:jc w:val="left"/>
        <w:tblInd w:w="0" w:type="dxa"/>
        <w:tblLayout w:type="fixed"/>
        <w:tblCellMar>
          <w:top w:w="0" w:type="dxa"/>
          <w:left w:w="0" w:type="dxa"/>
          <w:bottom w:w="0" w:type="dxa"/>
          <w:right w:w="0" w:type="dxa"/>
        </w:tblCellMar>
      </w:tblPr>
      <w:tblGrid>
        <w:gridCol w:w="38"/>
        <w:gridCol w:w="110"/>
        <w:gridCol w:w="40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0"/>
              <w:jc w:val="left"/>
              <w:rPr/>
            </w:pPr>
            <w:r>
              <w:rPr/>
              <w:t>holders subject to alternative minimum tax;</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4" w:name="z97ec1b9b248b444fa8cb2f6402b4e15d"/>
      <w:bookmarkStart w:id="565" w:name="z97ec1b9b248b444fa8cb2f6402b4e15d"/>
      <w:bookmarkEnd w:id="565"/>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jc w:val="left"/>
              <w:rPr/>
            </w:pPr>
            <w:r>
              <w:rPr/>
              <w:t>“</w:t>
            </w:r>
            <w:r>
              <w:rPr/>
              <w:t>individual retirement accounts” and other tax deferred accounts;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6" w:name="z4022c39f6f41492a944294719f5d3f2a"/>
      <w:bookmarkStart w:id="567" w:name="z4022c39f6f41492a944294719f5d3f2a"/>
      <w:bookmarkEnd w:id="567"/>
    </w:p>
    <w:tbl>
      <w:tblPr>
        <w:tblW w:w="6348" w:type="dxa"/>
        <w:jc w:val="left"/>
        <w:tblInd w:w="0" w:type="dxa"/>
        <w:tblLayout w:type="fixed"/>
        <w:tblCellMar>
          <w:top w:w="0" w:type="dxa"/>
          <w:left w:w="0" w:type="dxa"/>
          <w:bottom w:w="0" w:type="dxa"/>
          <w:right w:w="0" w:type="dxa"/>
        </w:tblCellMar>
      </w:tblPr>
      <w:tblGrid>
        <w:gridCol w:w="38"/>
        <w:gridCol w:w="110"/>
        <w:gridCol w:w="6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0"/>
              <w:jc w:val="left"/>
              <w:rPr/>
            </w:pPr>
            <w:r>
              <w:rPr/>
              <w:t>certain former citizens or long term residents of the United States;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8" w:name="z5b8146228e01451fb3d5f7f1f71bb112"/>
      <w:bookmarkStart w:id="569" w:name="z5b8146228e01451fb3d5f7f1f71bb112"/>
      <w:bookmarkEnd w:id="5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persons that are resident or ordinarily resident in or have a permanent establishment in a jurisdiction outside the United States;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70" w:name="za6b931fc2de54de58b7f49f74d7c764c"/>
      <w:bookmarkStart w:id="571" w:name="za6b931fc2de54de58b7f49f74d7c764c"/>
      <w:bookmarkEnd w:id="5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persons that acquired our ordinary shares pursuant to the exercise of any employee share option or otherwise as compensation for the performance of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72" w:name="z9da0d927c03f469e87ca4b028e783f41"/>
      <w:bookmarkStart w:id="573" w:name="z9da0d927c03f469e87ca4b028e783f41"/>
      <w:bookmarkEnd w:id="5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persons holding our ordinary shares as part of a “hedging,” “integrated” or “conversion” transaction or as a position in a “straddle” for U.S. federal income tax purposes;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74" w:name="zffb989b86acc4eacb99471b28fa1512c"/>
      <w:bookmarkStart w:id="575" w:name="zffb989b86acc4eacb99471b28fa1512c"/>
      <w:bookmarkEnd w:id="5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partnerships or other pass through entities and persons holding the ordinary shares through partnerships or other pass through entities;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76" w:name="zffb8f7d3f1bc473789e248917bba83bd"/>
      <w:bookmarkStart w:id="577" w:name="zffb8f7d3f1bc473789e248917bba83bd"/>
      <w:bookmarkEnd w:id="577"/>
    </w:p>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pPr>
            <w:r>
              <w:rPr/>
              <w:t>persons whose functional currency for U.S. federal income tax purposes is not the U.S. dollar;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78" w:name="z64033b2f538640529c88013c5359af77"/>
      <w:bookmarkStart w:id="579" w:name="z64033b2f538640529c88013c5359af77"/>
      <w:bookmarkEnd w:id="579"/>
    </w:p>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pPr>
            <w:r>
              <w:rPr/>
              <w:t>persons holding ordinary shares in connection with a trade or business outside the United States;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80" w:name="z9279710559df4bbc94458727ee820f9b"/>
      <w:bookmarkStart w:id="581" w:name="z9279710559df4bbc94458727ee820f9b"/>
      <w:bookmarkEnd w:id="581"/>
    </w:p>
    <w:tbl>
      <w:tblPr>
        <w:tblW w:w="9693" w:type="dxa"/>
        <w:jc w:val="left"/>
        <w:tblInd w:w="0" w:type="dxa"/>
        <w:tblLayout w:type="fixed"/>
        <w:tblCellMar>
          <w:top w:w="0" w:type="dxa"/>
          <w:left w:w="0" w:type="dxa"/>
          <w:bottom w:w="0" w:type="dxa"/>
          <w:right w:w="0" w:type="dxa"/>
        </w:tblCellMar>
      </w:tblPr>
      <w:tblGrid>
        <w:gridCol w:w="38"/>
        <w:gridCol w:w="110"/>
        <w:gridCol w:w="9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0"/>
              <w:jc w:val="left"/>
              <w:rPr/>
            </w:pPr>
            <w:r>
              <w:rPr/>
              <w:t>holders of Convertible Notes or ordinary shares acquired upon a conversion of Convertible Notes;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82" w:name="z9e956f3e4b724cd5a81c5de3344c5ec7"/>
      <w:bookmarkStart w:id="583" w:name="z9e956f3e4b724cd5a81c5de3344c5ec7"/>
      <w:bookmarkEnd w:id="5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holders that own directly, indirectly or through attribution 10% or more of the total voting power or value of all of our outstanding shares.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For purposes of this description, a “U.S. Holder” is a beneficial owner of our ordinary shares that, for U.S. federal income tax purposes, is: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84" w:name="z191843cb892345c1b8c2442ea8a9a80c"/>
      <w:bookmarkStart w:id="585" w:name="z191843cb892345c1b8c2442ea8a9a80c"/>
      <w:bookmarkEnd w:id="585"/>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left"/>
              <w:rPr/>
            </w:pPr>
            <w:r>
              <w:rPr/>
              <w:t>an individual who is a citizen or resident of the United States;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86" w:name="zff9deef5f5624da394140361128bb7d9"/>
      <w:bookmarkStart w:id="587" w:name="zff9deef5f5624da394140361128bb7d9"/>
      <w:bookmarkEnd w:id="5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corporation (or other entity treated as a corporation for U.S. federal income tax purposes) created or organized in or under the laws of the United States or any state thereof, including the District of Columbia;</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88" w:name="z03bb23d42b2f4b4bb3f1dde40fce68e5"/>
      <w:bookmarkStart w:id="589" w:name="z03bb23d42b2f4b4bb3f1dde40fce68e5"/>
      <w:bookmarkEnd w:id="589"/>
    </w:p>
    <w:tbl>
      <w:tblPr>
        <w:tblW w:w="9438" w:type="dxa"/>
        <w:jc w:val="left"/>
        <w:tblInd w:w="0" w:type="dxa"/>
        <w:tblLayout w:type="fixed"/>
        <w:tblCellMar>
          <w:top w:w="0" w:type="dxa"/>
          <w:left w:w="0" w:type="dxa"/>
          <w:bottom w:w="0" w:type="dxa"/>
          <w:right w:w="0" w:type="dxa"/>
        </w:tblCellMar>
      </w:tblPr>
      <w:tblGrid>
        <w:gridCol w:w="38"/>
        <w:gridCol w:w="110"/>
        <w:gridCol w:w="92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0"/>
              <w:jc w:val="left"/>
              <w:rPr/>
            </w:pPr>
            <w:r>
              <w:rPr/>
              <w:t>an estate the income of which is subject to U.S. federal income taxation regardless of its source;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90" w:name="z7f6c7fac56b349de8cb340f9f25abc81"/>
      <w:bookmarkStart w:id="591" w:name="z7f6c7fac56b349de8cb340f9f25abc81"/>
      <w:bookmarkEnd w:id="5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If a partnership (or any other entity or arrangement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in its particular circumstance.</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You should consult your tax advisor with respect to the U.S. federal, state, local and foreign tax consequences of acquiring, owning and disposing of our ordinary shares.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Passive Foreign Investment Company considerations</w:t>
      </w:r>
    </w:p>
    <w:p>
      <w:pPr>
        <w:pStyle w:val="TextBody"/>
        <w:bidi w:val="0"/>
        <w:spacing w:lineRule="auto" w:line="300" w:before="0" w:after="0"/>
        <w:jc w:val="left"/>
        <w:rPr>
          <w:i/>
        </w:rPr>
      </w:pPr>
      <w:r>
        <w:rPr>
          <w:i/>
        </w:rPr>
      </w:r>
    </w:p>
    <w:p>
      <w:pPr>
        <w:pStyle w:val="TextBody"/>
        <w:bidi w:val="0"/>
        <w:spacing w:lineRule="auto" w:line="300" w:before="0" w:after="0"/>
        <w:ind w:left="0" w:right="0" w:firstLine="709"/>
        <w:jc w:val="left"/>
        <w:rPr>
          <w:i w:val="false"/>
          <w:caps w:val="false"/>
          <w:smallCaps w:val="false"/>
          <w:sz w:val="20"/>
        </w:rPr>
      </w:pPr>
      <w:r>
        <w:rPr>
          <w:i w:val="false"/>
          <w:caps w:val="false"/>
          <w:smallCaps w:val="false"/>
          <w:sz w:val="20"/>
        </w:rPr>
        <w:t>There can be no assurance that we will not be classified as a passive foreign investment company, which could result in adverse U.S. federal income tax consequences to U.S. Holders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If a non-U.S. company is classified as a PFIC in any taxable year, a U.S. Holder of such PFIC’s shares will be subject to special rules generally intended to reduce or eliminate any benefits from the deferral of U.S. federal income tax that such U.S. Holder could derive from investing in a non-U.S. company that does not distribute all of its earnings on a current basis.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In general, a non-U.S. corporation will be classified as a PFIC for any taxable year if at least (i) 75% of its gross income is classified as “passive income” or (ii) 50% of its gross assets (generally determined on the basis of a quarterly average) produce or are held for the production of passive income, or the asset test. For these purposes, cash and other assets readily convertible into cash or that do or could generate passive income are considered passive assets and the value of goodwill and other unbooked intangible assets is generally taken into account. Passive income generally includes, among other things, rents, dividends, interest, royalties, gains from disposition of passive assets and gains from commodities and securities transactions. In making this determination, the non-U.S. corporation is treated as earning its proportionate share of any income and owning its proportionate share of any assets of any corporation in which it directly or indirectly holds 25% or more (by value) of the stock.</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IRS has not issued guidance conclusively addressing how to value a publicly-traded foreign corporation’s assets for PFIC purposes. The trading value of our ordinary shares has in the past, and is likely to continue to fluctuate. Considering the volatile market conditions, we believe it may be appropriate to employ alternative methods to determine the value of our assets other than the market capitalization method. After considering the total value of our assets determined under an alternative valuation method that takes into account, in addition to the trading value of our ordinary shares, a control premium, we believe that we were not a PFIC for the taxable year ended December 31, 2023. However, if the market capitalization method were determined to be the only appropriate method of valuing our assets, there is a significant risk that we would be treated as a PFIC for the taxable year ended December 31, 2023. There can be no certainty that the IRS will not challenge our position and determine that based on the IRS’s interpretation of the asset test, we were a PFIC for the taxable year ended December 31, 2023.</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Because PFIC status is based on our income, assets and activities for the entire taxable year, which are subject to change, it is not possible to determine whether we will be characterized as a PFIC for our current taxable year or future taxable years until after the close of the applicable taxable year.</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pPr>
      <w:r>
        <w:rPr/>
        <w:t> </w:t>
      </w:r>
      <w:r>
        <w:rPr>
          <w:sz w:val="20"/>
        </w:rPr>
        <w:t>In addition, we have a substantial balance of cash and other liquid investments, which are passive assets for purposes of the PFIC determination. Whether we are treated as a PFIC in the current taxable year or in future taxable years will depend in part on how, and how quickly, we spend or otherwise utilize these passive assets. Furthermore, the application of the PFIC rules is subject to uncertainty and the IRS or a court may disagree with our determinations, including the manner in which we determine the value of our assets and the percentage of our assets that are passive assets under the PFIC rules. Therefore, there can be no assurance regarding our PFIC status for our prior taxable year, our current taxable year or for any future taxable year.</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96</w:t>
      </w:r>
    </w:p>
    <w:p>
      <w:pPr>
        <w:pStyle w:val="HorizontalLine"/>
        <w:bidi w:val="0"/>
        <w:spacing w:before="200" w:after="200"/>
        <w:jc w:val="left"/>
        <w:rPr/>
      </w:pPr>
      <w:r>
        <w:rPr/>
      </w:r>
    </w:p>
    <w:p>
      <w:pPr>
        <w:pStyle w:val="TextBody"/>
        <w:bidi w:val="0"/>
        <w:spacing w:lineRule="auto" w:line="300" w:before="0" w:after="0"/>
        <w:ind w:left="0" w:right="0" w:firstLine="709"/>
        <w:jc w:val="left"/>
        <w:rPr>
          <w:sz w:val="20"/>
        </w:rPr>
      </w:pPr>
      <w:r>
        <w:rPr>
          <w:sz w:val="20"/>
        </w:rPr>
        <w:t>Under the PFIC rules, if we were considered a PFIC at any time that you hold our ordinary shares, we would continue to be treated as a PFIC with respect to your investment in all succeeding years during which you own our ordinary shares (regardless of whether we continue to meet the tests described above) unless (i) we have ceased to be a PFIC and (ii) you have made a “deemed sale” election under the PFIC rules. If such election is made, you will be deemed to have sold your ordinary shares at their fair market value on the last day of the last taxable year in which we were a PFIC, and any gain from the deemed sale would be subject to the rules described in the following paragraph. After the deemed sale election, so long as we do not become a PFIC in a subsequent taxable year, the ordinary shares with respect to which such election was made will not be treated as shares in a PFIC. You should consult your own tax advisor as to the possibility and consequences of making a deemed sale election.</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If we are considered a PFIC at any time that you hold ordinary shares, unless (i) we have ceased to be a PFIC and you have previously made the deemed sale election described above or (ii) you make one of the elections described below, any gain recognized by you on a sale or other disposition of the ordinary shares, as well as the amount of any “excess distribution” (defined below) received by you, would be allocated ratably over your holding period for the ordinary shares. The amounts allocated to the taxable year of the sale or other disposition (or the taxable year of receipt, in the case of an excess distribution)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you on your ordinary shares in a taxable year exceeds 125% of the average of the annual distributions on the ordinary shares during the preceding three taxable years or your holding period, whichever is shorter. Distributions below the 125% threshold are treated as dividends taxable in the year of receipt and are not subject to prior highest tax rates or the interest charge.</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If we are treated as a PFIC with respect to you for any taxable year, you will be deemed to own shares in any entities in which we own equity that are also PFICs, or lower tier PFICs, and you may be subject to the tax consequences described above with respect to the shares of such lower tier PFIC you would be deemed to own.</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Mark to market elections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we are a PFIC for any taxable year during which you hold ordinary shares, then in lieu of being subject to the tax and interest charge rules discussed above, you may make an election to include gain on the ordinary shares as ordinary income under a mark to market method, provided that such ordinary shares are “marketable.” The ordinary shares will be marketable if they are “regularly traded” on a qualified exchange or other market, as defined in applicable U.S. Treasury regulations, such as the New York Stock Exchange (or on a foreign stock exchange that meets certain conditions). For these purposes, the ordinary shares will be considered regularly traded during any calendar year during which they are traded, other than in de minimis quantities, on at least 15 days during each calendar quarter. Any trades that have as their principal purpose meeting this requirement will be disregarded. However, because a mark to market election cannot be made for any lower tier PFICs that we may own, you will generally continue to be subject to the PFIC rules discussed above with respect to your indirect interest in any investments we own that are treated as an equity interest in a PFIC for U.S. federal income tax purposes. As a result, it is possible that any mark to market election with respect to the ordinary shares will be of limited benefit.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you make an effective mark to market election, in each year that we are a PFIC, you will include in ordinary income the excess of the fair market value of your ordinary shares at the end of the year over your adjusted tax basis in the ordinary shares. You will be entitled to deduct as an ordinary loss in each such year the excess of your adjusted tax basis in the ordinary shares over their fair market value at the end of the year, but only to the extent of the net amount previously included in income as a result of the mark to market election. If you make an effective mark to market election, in each year that we are a PFIC, any gain that you recognize upon the sale or other disposition of your ordinary shares will be treated as ordinary income and any loss will be treated as ordinary loss, but only to the extent of the net amount of previously included income as a result of the mark to market election.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Your adjusted tax basis in the ordinary shares will be increased by the amount of any income inclusion and decreased by the amount of any deductions under the mark to market rules discussed above. If you make an effective mark to market election, it will be effective for the taxable year for which the election is made and all subsequent taxable years unless the ordinary shares are no longer regularly traded on a qualified exchange or the IRS consents to the revocation of the election. You should consult your tax advisor about the availability of the mark to market election, and whether making the election would be advisable in your particular circumstances.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w:t>
      </w:r>
    </w:p>
    <w:p>
      <w:pPr>
        <w:pStyle w:val="HorizontalLine"/>
        <w:bidi w:val="0"/>
        <w:spacing w:before="200" w:after="200"/>
        <w:jc w:val="left"/>
        <w:rPr/>
      </w:pPr>
      <w:r>
        <w:rPr/>
      </w:r>
    </w:p>
    <w:p>
      <w:pPr>
        <w:pStyle w:val="TextBody"/>
        <w:bidi w:val="0"/>
        <w:spacing w:lineRule="auto" w:line="300" w:before="0" w:after="0"/>
        <w:jc w:val="left"/>
        <w:rPr>
          <w:i/>
          <w:sz w:val="20"/>
        </w:rPr>
      </w:pPr>
      <w:r>
        <w:rPr>
          <w:i/>
          <w:sz w:val="20"/>
        </w:rPr>
        <w:t>Qualified electing fund elections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In certain circumstances, a U.S. equity holder in a PFIC may avoid the adverse tax and interest charge regime described above by making a “qualified electing fund” election to include in income its share of the corporation’s income on a current basis. However, you may make a qualified electing fund election with respect to the ordinary shares only if we agree to furnish you annually with a PFIC annual information statement as specified in the applicable U.S. Treasury regulations. We do not intend to provide the information necessary for you to make a qualified electing fund election if we are classified as a PFIC. Therefore, you should assume that you will not receive such information from us and would therefore be unable to make a qualified electing fund election with respect to any of our ordinary shares were we to be or become a PFIC.</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Tax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If you own ordinary shares during any year in which we are a PFIC, you generally will be required to file an IRS Form 8621 with respect to us, generally with your federal income tax return for that year. If we are a PFIC for a given taxable year, then you should consult your tax advisor concerning your annual filing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You should consult your tax advisor regarding whether we are a PFIC as well as the potential U.S. federal income tax consequences of holding and disposing of our ordinary shares if we are or become classified as a PFIC, including the possibility of making a mark to market election in your particular circumstances.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Distributions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Subject to the discussion under ”</w:t>
      </w:r>
      <w:r>
        <w:rPr>
          <w:i/>
          <w:sz w:val="20"/>
        </w:rPr>
        <w:t>Passive Foreign Investment Company considerations”</w:t>
      </w:r>
      <w:r>
        <w:rPr>
          <w:sz w:val="20"/>
        </w:rPr>
        <w:t> above, the gross amount of any distribution made to you with respect to our ordinary shares, before reduction for any Israeli taxes withheld therefrom, generally will be includible in your income as dividend income on the date on which the dividends are actually or constructively received, to the extent such distribution is paid out of our current or accumulated earnings and profits as determined under U.S. federal income tax principles. To the extent that the amount of any distribution by us exceeds our current and accumulated earnings and profits as determined under U.S. federal income tax principles, it will be treated first as a tax free return of your adjusted tax basis in our ordinary shares and thereafter as capital gain. However, we do not expect to maintain calculations of our earnings and profits under U.S. federal income tax principles and, therefore, you should expect that the entire amount of any distribution generally will be reported as dividend income to you. If you are a non corporate U.S. Holder you may qualify for the lower rates of taxation with respect to dividends on ordinary shares applicable to long term capital gains (i.e., gains from the sale of capital assets held for more than one year), provided that we are not a PFIC (as discussed above under ”</w:t>
      </w:r>
      <w:r>
        <w:rPr>
          <w:i/>
          <w:sz w:val="20"/>
        </w:rPr>
        <w:t>Passive Foreign Investment Company considerations”</w:t>
      </w:r>
      <w:r>
        <w:rPr>
          <w:sz w:val="20"/>
        </w:rPr>
        <w:t>) with respect to you in our taxable year in which the dividend was paid or in the prior taxable year and certain other conditions are met, including certain holding period requirements and the absence of certain risk reduction transactions. However, such dividends will not be eligible for the dividends received deduction generally allowed to corporate U.S. 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amount of any distribution paid in a currency other than U.S. dollars, or a foreign currency, including the amount of any withholding tax thereon, will be included in the gross income of a U.S. holder in an amount equal to the U.S. dollar value of the foreign currency calculated by reference to the exchange rate in effect on the date of receipt, regardless of whether the foreign currency is converted into U.S. dollars on the date of receipt. If the foreign currency is converted into U.S. dollars on the date of receipt, a U.S. holder generally should not be required to recognize foreign currency gain or loss in respect of the distribution. If the foreign currency received in the distribution is not converted into U.S. dollars on the date of receipt, a U.S. holder will have a basis in the foreign currency equal to its U.S. dollar value on the date of receipt. Any gain or loss on a subsequent conversion or other disposition of the foreign currency will be treated as ordinary income or loss.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Dividends paid to you with respect to our ordinary shares generally will be treated as foreign source income that is “passive category income”, which may be relevant in calculating your foreign tax credit limitation. Subject to certain conditions and limitations, Israeli tax withheld on dividends may be credited against your U.S. federal income tax liability or, at your election, be deducted from your U.S. federal taxable income. An election to deduct creditable foreign taxes instead of claiming foreign tax credits applies to all such foreign taxes paid or accrued in the taxable year. Recently issued final U.S. Treasury regulations have imposed additional requirements that must be met for a foreign tax to be creditable. However, a recent notice from the IRS indicates that the U.S. Department of the Treasury and the IRS are considering proposing amendments to such regulations and allows, subject to certain conditions, taxpayers to defer the application of many aspects of such regulations for taxable years beginning on or after December 28, 2021 and ending before the date that a notice or other guidance withdrawing or modifying the temporary relief is issued (or any later date specified in such notice or other guidance). The rules relating to the determination of the foreign tax credit are complex, and you should consult your tax advisor to determine whether and to what extent you will be entitled to this credit.</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w:t>
      </w:r>
    </w:p>
    <w:p>
      <w:pPr>
        <w:pStyle w:val="HorizontalLine"/>
        <w:bidi w:val="0"/>
        <w:spacing w:before="200" w:after="200"/>
        <w:jc w:val="left"/>
        <w:rPr/>
      </w:pPr>
      <w:r>
        <w:rPr/>
      </w:r>
    </w:p>
    <w:p>
      <w:pPr>
        <w:pStyle w:val="TextBody"/>
        <w:bidi w:val="0"/>
        <w:spacing w:lineRule="auto" w:line="300" w:before="0" w:after="0"/>
        <w:jc w:val="left"/>
        <w:rPr>
          <w:i/>
          <w:sz w:val="20"/>
        </w:rPr>
      </w:pPr>
      <w:r>
        <w:rPr>
          <w:i/>
          <w:sz w:val="20"/>
        </w:rPr>
        <w:t>Sale, exchange or other disposition of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Subject to the discussion under ”</w:t>
      </w:r>
      <w:r>
        <w:rPr>
          <w:i/>
          <w:sz w:val="20"/>
        </w:rPr>
        <w:t>Passive Foreign Investment Company considerations”</w:t>
      </w:r>
      <w:r>
        <w:rPr>
          <w:sz w:val="20"/>
        </w:rPr>
        <w:t> above, you generally will recognize gain or loss on the sale, exchange or other disposition of our ordinary shares equal to the difference between the amount realized on such sale, exchange or other disposition and your adjusted tax basis in our ordinary shares, and such gain or loss will be capital gain or loss. If you are a non corporate U.S. Holder, capital gain from the sale, exchange or other disposition of ordinary shares is generally eligible for a preferential rate of taxation applicable to capital gains, if your holding period for such ordinary shares exceeds one year (i.e., such gain is long term capital gain). The deductibility of capital losses for U.S. federal income tax purposes is subject to limitations under the Code. Any such gain or loss that a U.S. Holder recognizes generally will be treated as U.S. source income or loss for foreign tax credit limitation purposes.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Backup withholding tax and information reporting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Distributions on and proceeds paid from the sale or other taxable disposition of the ordinary shares may be subject to information reporting to the IRS. In addition, a U.S. Holder may be subject to backup withholding on cash payments received in connection with dividend payments and proceeds from the sale or other taxable disposition of ordinary shares made within the United States or through certain U.S. related financial intermediaries.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Backup withholding will not apply, however, to a U.S. Holder who furnishes a correct taxpayer identification number, provides other required certification and otherwise complies with the applicable requirements of the backup withholding rules or who is otherwise exempt from backup withholding (and, when required, demonstrates such exemption). Backup withholding is not an additional tax. Rather, any amount withheld under the backup withholding rules will be creditable or refundable against the U.S. Holder’s U.S. federal income tax liability, provided the required information is timely furnished to the IRS.</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Foreign asset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Certain U.S. Holders are required to report their holdings of certain foreign financial assets, including equity of foreign entities, if the aggregate value of all of these assets exceeds certain threshold amounts, by filing IRS Form 8938 with their federal income tax return. Our ordinary shares are expected to constitute foreign financial assets subject to these requirements unless the ordinary shares are held in an account at certain financial institutions. U.S. Holders are urged to consult their tax advisors regarding their information reporting obligations, if any, with respect to their ownership and disposition of our ordinary shares and the significant penalties for non-compliance.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92" w:name="ze874ded483cb463b8e66af20f4aa43ba"/>
      <w:bookmarkStart w:id="593" w:name="F.10"/>
      <w:bookmarkStart w:id="594" w:name="ze874ded483cb463b8e66af20f4aa43ba"/>
      <w:bookmarkStart w:id="595" w:name="F.10"/>
      <w:bookmarkEnd w:id="594"/>
      <w:bookmarkEnd w:id="595"/>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before="0" w:after="283"/>
              <w:jc w:val="left"/>
              <w:rPr>
                <w:b/>
              </w:rPr>
            </w:pPr>
            <w:r>
              <w:rPr>
                <w:b/>
              </w:rPr>
              <w:t>F.</w:t>
            </w:r>
          </w:p>
        </w:tc>
        <w:tc>
          <w:tcPr>
            <w:tcW w:w="3035" w:type="dxa"/>
            <w:tcBorders/>
            <w:vAlign w:val="center"/>
          </w:tcPr>
          <w:p>
            <w:pPr>
              <w:pStyle w:val="TableContents"/>
              <w:bidi w:val="0"/>
              <w:spacing w:before="0" w:after="0"/>
              <w:jc w:val="left"/>
              <w:rPr>
                <w:b/>
              </w:rPr>
            </w:pPr>
            <w:r>
              <w:rPr>
                <w:b/>
              </w:rPr>
              <w:t>Dividends and Paying Agents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96" w:name="zb4fc4bfa716e4aa9a333fd3db12bd99f"/>
      <w:bookmarkStart w:id="597" w:name="G.10"/>
      <w:bookmarkStart w:id="598" w:name="zb4fc4bfa716e4aa9a333fd3db12bd99f"/>
      <w:bookmarkStart w:id="599" w:name="G.10"/>
      <w:bookmarkEnd w:id="598"/>
      <w:bookmarkEnd w:id="599"/>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283"/>
              <w:jc w:val="left"/>
              <w:rPr>
                <w:b/>
              </w:rPr>
            </w:pPr>
            <w:r>
              <w:rPr>
                <w:b/>
              </w:rPr>
              <w:t>G.</w:t>
            </w:r>
          </w:p>
        </w:tc>
        <w:tc>
          <w:tcPr>
            <w:tcW w:w="2225" w:type="dxa"/>
            <w:tcBorders/>
            <w:vAlign w:val="center"/>
          </w:tcPr>
          <w:p>
            <w:pPr>
              <w:pStyle w:val="TableContents"/>
              <w:bidi w:val="0"/>
              <w:spacing w:before="0" w:after="0"/>
              <w:jc w:val="left"/>
              <w:rPr>
                <w:b/>
              </w:rPr>
            </w:pPr>
            <w:r>
              <w:rPr>
                <w:b/>
              </w:rPr>
              <w:t>Statement by Experts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00" w:name="z4fe0ebf8aced4ebca10ef2b42d20d7ef"/>
      <w:bookmarkStart w:id="601" w:name="H.10"/>
      <w:bookmarkStart w:id="602" w:name="z4fe0ebf8aced4ebca10ef2b42d20d7ef"/>
      <w:bookmarkStart w:id="603" w:name="H.10"/>
      <w:bookmarkEnd w:id="602"/>
      <w:bookmarkEnd w:id="603"/>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283"/>
              <w:jc w:val="left"/>
              <w:rPr>
                <w:b/>
              </w:rPr>
            </w:pPr>
            <w:r>
              <w:rPr>
                <w:b/>
              </w:rPr>
              <w:t>H.</w:t>
            </w:r>
          </w:p>
        </w:tc>
        <w:tc>
          <w:tcPr>
            <w:tcW w:w="2315" w:type="dxa"/>
            <w:tcBorders/>
            <w:vAlign w:val="center"/>
          </w:tcPr>
          <w:p>
            <w:pPr>
              <w:pStyle w:val="TableContents"/>
              <w:bidi w:val="0"/>
              <w:spacing w:before="0" w:after="0"/>
              <w:jc w:val="left"/>
              <w:rPr>
                <w:b/>
              </w:rPr>
            </w:pPr>
            <w:r>
              <w:rPr>
                <w:b/>
              </w:rPr>
              <w:t>Documents on Display</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subject to the informational requirements of the Exchange Act. Accordingly, we are required to file reports and other information with the SEC, including annual reports on Form 20-F and reports on Form 6-K.</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As a foreign private issuer, we are exempt under the Exchange Act from, among other things, the rules prescribing the furnishing and content of proxy statements, and our officers, directors and principal shareholders are exempt from the reporting and short 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We are required to make certain filings with the SEC. The SEC maintains an internet website that contains reports, proxy statements and other information about issuers, like us, that file electronically with the SEC. The address of that site is www.sec.gov.</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604" w:name="z8213be4cd10546fa8330e317b9f079d0"/>
      <w:bookmarkStart w:id="605" w:name="I.10"/>
      <w:bookmarkStart w:id="606" w:name="z8213be4cd10546fa8330e317b9f079d0"/>
      <w:bookmarkStart w:id="607" w:name="I.10"/>
      <w:bookmarkEnd w:id="606"/>
      <w:bookmarkEnd w:id="607"/>
    </w:p>
    <w:tbl>
      <w:tblPr>
        <w:tblW w:w="2605" w:type="dxa"/>
        <w:jc w:val="left"/>
        <w:tblInd w:w="0" w:type="dxa"/>
        <w:tblLayout w:type="fixed"/>
        <w:tblCellMar>
          <w:top w:w="0" w:type="dxa"/>
          <w:left w:w="0" w:type="dxa"/>
          <w:bottom w:w="0" w:type="dxa"/>
          <w:right w:w="0" w:type="dxa"/>
        </w:tblCellMar>
      </w:tblPr>
      <w:tblGrid>
        <w:gridCol w:w="185"/>
        <w:gridCol w:w="2420"/>
      </w:tblGrid>
      <w:tr>
        <w:trPr/>
        <w:tc>
          <w:tcPr>
            <w:tcW w:w="185" w:type="dxa"/>
            <w:tcBorders/>
            <w:vAlign w:val="center"/>
          </w:tcPr>
          <w:p>
            <w:pPr>
              <w:pStyle w:val="TableContents"/>
              <w:bidi w:val="0"/>
              <w:spacing w:before="0" w:after="283"/>
              <w:jc w:val="left"/>
              <w:rPr>
                <w:b/>
              </w:rPr>
            </w:pPr>
            <w:r>
              <w:rPr>
                <w:b/>
              </w:rPr>
              <w:t>I.</w:t>
            </w:r>
          </w:p>
        </w:tc>
        <w:tc>
          <w:tcPr>
            <w:tcW w:w="2420" w:type="dxa"/>
            <w:tcBorders/>
            <w:vAlign w:val="center"/>
          </w:tcPr>
          <w:p>
            <w:pPr>
              <w:pStyle w:val="TableContents"/>
              <w:bidi w:val="0"/>
              <w:spacing w:before="0" w:after="0"/>
              <w:jc w:val="left"/>
              <w:rPr>
                <w:b/>
              </w:rPr>
            </w:pPr>
            <w:r>
              <w:rPr>
                <w:b/>
              </w:rPr>
              <w:t>Subsidiary Information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08" w:name="z3b4f1c2f273941a8a8db472dc27d3344"/>
      <w:bookmarkStart w:id="609" w:name="J.10"/>
      <w:bookmarkStart w:id="610" w:name="z3b4f1c2f273941a8a8db472dc27d3344"/>
      <w:bookmarkStart w:id="611" w:name="J.10"/>
      <w:bookmarkEnd w:id="610"/>
      <w:bookmarkEnd w:id="611"/>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283"/>
              <w:jc w:val="left"/>
              <w:rPr>
                <w:b/>
              </w:rPr>
            </w:pPr>
            <w:r>
              <w:rPr>
                <w:b/>
              </w:rPr>
              <w:t>J.</w:t>
            </w:r>
          </w:p>
        </w:tc>
        <w:tc>
          <w:tcPr>
            <w:tcW w:w="3725" w:type="dxa"/>
            <w:tcBorders/>
            <w:vAlign w:val="center"/>
          </w:tcPr>
          <w:p>
            <w:pPr>
              <w:pStyle w:val="TableContents"/>
              <w:bidi w:val="0"/>
              <w:spacing w:before="0" w:after="0"/>
              <w:jc w:val="left"/>
              <w:rPr>
                <w:b/>
              </w:rPr>
            </w:pPr>
            <w:r>
              <w:rPr>
                <w:b/>
              </w:rPr>
              <w:t>Annual Report to Securities Holders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11.</w:t>
      </w:r>
      <w:bookmarkStart w:id="612" w:name="Item11."/>
      <w:bookmarkEnd w:id="612"/>
      <w:r>
        <w:rPr>
          <w:b/>
          <w:sz w:val="20"/>
        </w:rPr>
        <w:t xml:space="preserve"> Quantitative and Qualitative Disclosures About Market Risk</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which are discussed in detail below.</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Foreign currency risk</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U.S. dollar is our functional currency. Substantially all of our revenue was denominated in U.S. dollars for the years ended 2023 and 2022, respectively, however certain expenses comprising our cost of revenue and operating expenses were denominated in NIS, mainly payroll and rent. We also have expenses in other currencies, in particular the EUR and GBP, although to a much lesser extent.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 decrease of 5% in the U.S. dollar/NIS exchange rate would have increased our cost of revenue and operating expenses by approximately 1.1% and 1.3% for the years ended December 31, 2023 and 2022, respectively. If the NIS fluctuates significantly against the U.S. dollar, it may have a negative impact on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During the years 2023 and 2022, we entered into forward, put and call option contracts to hedge certain forecasted payroll payments denominated in NIS, against exchange rate fluctuations of the U.S. dollar.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had outstanding contracts that were designated as hedging instruments in a cash flow hedges, in the aggregate notional amount of $55.0 million and $64.0 million as of December 31, 2023 and December 31, 2022, respectively. The fair value of the outstanding contracts amounted to an asset of $1.0 million and a liability of $0.1 million as of December 31, 2023 and an asset of $0.1 million and a liability of $1.4 million as of December 31, 2022, recorded under other receivables and other account payables and accrued expenses, respectively. Losses of $4.1 million and $4.0 million were reclassified from accumulated other comprehensive losses during the years ended December 31, 2023 and 2022, respectively. Such gains and losses were reclassified from accumulated other comprehensive losses when the related expenses were incurred. In addition losses of $0.4 million and $1.0 million were reclassified from other comprehensive loss to financial expenses, net in connection with forecasted transactions not probable of occurring during the years ended December 31, 2023 and December 31, 2022, respectively.</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Interest rate risk</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investments are subject to market risk due to changes in interest rates, which may affect our interest income and fair market value of our investments. To minimize this risk, we maintain our portfolio in a variety of high-grade securities, including treasury, corporate and municipal bonds. The primary objectives of our investment activities are to support liquidity, preserve principal and to maximize income without significantly increasing risk.</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12. Description of Securities Other than Equity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w:t>
      </w:r>
    </w:p>
    <w:p>
      <w:pPr>
        <w:pStyle w:val="HorizontalLine"/>
        <w:bidi w:val="0"/>
        <w:spacing w:before="200" w:after="200"/>
        <w:jc w:val="left"/>
        <w:rPr/>
      </w:pPr>
      <w:r>
        <w:rPr/>
      </w:r>
    </w:p>
    <w:p>
      <w:pPr>
        <w:pStyle w:val="TextBody"/>
        <w:bidi w:val="0"/>
        <w:spacing w:lineRule="auto" w:line="300" w:before="0" w:after="0"/>
        <w:jc w:val="center"/>
        <w:rPr>
          <w:b/>
          <w:sz w:val="20"/>
        </w:rPr>
      </w:pPr>
      <w:bookmarkStart w:id="613" w:name="PARTII"/>
      <w:bookmarkEnd w:id="613"/>
      <w:r>
        <w:rPr>
          <w:b/>
          <w:sz w:val="20"/>
        </w:rPr>
        <w:t>PART II</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13. Defaults, Dividend Arrearages and Delinquencies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14. Material Modifications to the Rights of Security Holders and Use of Proceeds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15. Controls and Procedures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Evaluation of Disclosure Controls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maintain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2023. Based upon that evaluation, our chief executive officer and chief financial officer concluded that, as of December 31, 2023, our disclosure controls and procedures were effective to accomplish their objectives at the reasonable assurance level.</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Management’s Annual Report on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management is responsible for establishing and maintaining adequate internal control over our financial reporting, as such term is defined in Rule 13a-15(f)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Attestation Report of the Registered Public Accounting Firm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independent registered public accounting firm, Kost Forer Gabbay &amp; Kasierer, a member of Ernst &amp; Young Global, has audited the consolidated financial statements included in this Annual Report on Form 20-F, and as part of its audit, has issued its attestation report regarding the effectiveness of our internal control over financial reporting as of December 31, 2023. The report of Kost Forer Gabbay &amp; Kasierer is included with our consolidated financial statements included elsewhere in this Annual Report and is incorporated herein by reference.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Changes in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There were no changes in our internal controls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 [Reserved]</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16A. Audit Committee Financial Expert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Board has determined that Mr. Gutler, Ms. Iohan and Mr. Zohar each satisfy the “independence” requirements set forth in Rule 10A-3 under the Exchange Act. Our board of directors has also determined that Mr. Gutler is an “audit committee financial expert” as defined in Item 16A of Form 20-F under the Exchange Act.</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16B. Code of Ethics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adopted a Code of Ethics and Conduct that applies to all our employees, officers and directors, including our principal executive, principal financial and principal accounting officer. Our Code of Ethics and Conduct addresses, among other things, competition and fair dealing, conflicts of interest, financial matters and external reporting, company funds and assets, confidentiality and corporate opportunity requirements and the process for reporting violations of the Code of Ethics and Conduct, employee misconduct, conflicts of interest or other violations. Our Code of Ethics and Conduct is intended to meet the definition of “code of ethics” under Item 16B of 20-F under the Exchange Act.</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w:t>
      </w:r>
    </w:p>
    <w:p>
      <w:pPr>
        <w:pStyle w:val="HorizontalLine"/>
        <w:bidi w:val="0"/>
        <w:spacing w:before="200" w:after="200"/>
        <w:jc w:val="left"/>
        <w:rPr/>
      </w:pPr>
      <w:r>
        <w:rPr/>
      </w:r>
    </w:p>
    <w:p>
      <w:pPr>
        <w:pStyle w:val="TextBody"/>
        <w:bidi w:val="0"/>
        <w:spacing w:lineRule="auto" w:line="300" w:before="0" w:after="0"/>
        <w:ind w:left="0" w:right="0" w:firstLine="720"/>
        <w:jc w:val="left"/>
        <w:rPr>
          <w:sz w:val="20"/>
        </w:rPr>
      </w:pPr>
      <w:r>
        <w:rPr>
          <w:sz w:val="20"/>
        </w:rPr>
        <w:t>We will disclose on our website any amendment to, or waiver from, a provision of our Code of Ethics and Conduct that applies to our directors or executive officers to the extent required under the rules of the SEC or the NYSE. Our Code of Ethics and Conduct is available on our website at investors.fiverr.com. The information contained on or through our website, or any other website referred to herein, is not incorporated by reference into this Annual Report.</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16C. P</w:t>
      </w:r>
      <w:bookmarkStart w:id="614" w:name="Item16C.P"/>
      <w:bookmarkEnd w:id="614"/>
      <w:r>
        <w:rPr>
          <w:b/>
          <w:sz w:val="20"/>
        </w:rPr>
        <w:t>rincipal Accountant Fees and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consolidated financial statements of Fiverr International Ltd. at December 31, 2023 and 2022, and for each of the three years in the period ended December 31, 2023,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Building A, Tel Aviv 6492101,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table below sets out the total amount of services rendered to us by Kost Forer Gabbay &amp; Kasierer, a member of Ernst &amp; Young Global, for services performed in the years ended December 31, 2023 and 2022, and breaks down these amounts by category of service: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15" w:name="zba49e4bad1e2431cac055ad045bde19e"/>
      <w:bookmarkStart w:id="616" w:name="zba49e4bad1e2431cac055ad045bde19e"/>
      <w:bookmarkEnd w:id="616"/>
    </w:p>
    <w:tbl>
      <w:tblPr>
        <w:tblW w:w="3023" w:type="dxa"/>
        <w:jc w:val="left"/>
        <w:tblInd w:w="0" w:type="dxa"/>
        <w:tblLayout w:type="fixed"/>
        <w:tblCellMar>
          <w:top w:w="0" w:type="dxa"/>
          <w:left w:w="0" w:type="dxa"/>
          <w:bottom w:w="0" w:type="dxa"/>
          <w:right w:w="0" w:type="dxa"/>
        </w:tblCellMar>
      </w:tblPr>
      <w:tblGrid>
        <w:gridCol w:w="1430"/>
        <w:gridCol w:w="60"/>
        <w:gridCol w:w="152"/>
        <w:gridCol w:w="610"/>
        <w:gridCol w:w="65"/>
        <w:gridCol w:w="65"/>
        <w:gridCol w:w="152"/>
        <w:gridCol w:w="414"/>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66"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b/>
              </w:rPr>
              <w:t>(in thousands</w:t>
            </w:r>
            <w:r>
              <w:rPr/>
              <w:t>)</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lineRule="auto" w:line="300" w:before="0" w:after="0"/>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lineRule="auto" w:line="300" w:before="0" w:after="0"/>
              <w:jc w:val="left"/>
              <w:rPr/>
            </w:pPr>
            <w:r>
              <w:rPr/>
              <w:t>$</w:t>
            </w:r>
          </w:p>
        </w:tc>
        <w:tc>
          <w:tcPr>
            <w:tcW w:w="610" w:type="dxa"/>
            <w:tcBorders/>
            <w:shd w:fill="CCEEFF" w:val="clear"/>
            <w:vAlign w:val="center"/>
          </w:tcPr>
          <w:p>
            <w:pPr>
              <w:pStyle w:val="TableContents"/>
              <w:bidi w:val="0"/>
              <w:spacing w:lineRule="auto" w:line="300" w:before="0" w:after="0"/>
              <w:jc w:val="right"/>
              <w:rPr/>
            </w:pPr>
            <w:r>
              <w:rPr/>
              <w:t>701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lineRule="auto" w:line="300" w:before="0" w:after="0"/>
              <w:jc w:val="left"/>
              <w:rPr/>
            </w:pPr>
            <w:r>
              <w:rPr/>
              <w:t>$</w:t>
            </w:r>
          </w:p>
        </w:tc>
        <w:tc>
          <w:tcPr>
            <w:tcW w:w="414" w:type="dxa"/>
            <w:tcBorders/>
            <w:shd w:fill="CCEEFF" w:val="clear"/>
            <w:vAlign w:val="center"/>
          </w:tcPr>
          <w:p>
            <w:pPr>
              <w:pStyle w:val="TableContents"/>
              <w:bidi w:val="0"/>
              <w:spacing w:lineRule="auto" w:line="300" w:before="0" w:after="0"/>
              <w:jc w:val="right"/>
              <w:rPr/>
            </w:pPr>
            <w:r>
              <w:rPr/>
              <w:t>701</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lineRule="auto" w:line="300" w:before="0" w:after="0"/>
              <w:jc w:val="left"/>
              <w:rPr/>
            </w:pPr>
            <w:r>
              <w:rPr/>
              <w:t>Tax Fees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lineRule="auto" w:line="300" w:before="0" w:after="0"/>
              <w:jc w:val="right"/>
              <w:rPr/>
            </w:pPr>
            <w:r>
              <w:rPr/>
              <w:t>430</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lineRule="auto" w:line="300" w:before="0" w:after="0"/>
              <w:jc w:val="right"/>
              <w:rPr/>
            </w:pPr>
            <w:r>
              <w:rPr/>
              <w:t>248</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lineRule="auto" w:line="300" w:before="0" w:after="0"/>
              <w:jc w:val="left"/>
              <w:rPr/>
            </w:pPr>
            <w:r>
              <w:rPr/>
              <w:t>All Other Fees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lineRule="auto" w:line="300" w:before="0" w:after="0"/>
              <w:jc w:val="left"/>
              <w:rPr/>
            </w:pPr>
            <w:r>
              <w:rPr/>
              <w:t> </w:t>
            </w:r>
            <w:r>
              <w:rPr>
                <w:b/>
              </w:rPr>
              <w:t>Total</w:t>
            </w:r>
          </w:p>
        </w:tc>
        <w:tc>
          <w:tcPr>
            <w:tcW w:w="60" w:type="dxa"/>
            <w:tcBorders/>
            <w:vAlign w:val="center"/>
          </w:tcPr>
          <w:p>
            <w:pPr>
              <w:pStyle w:val="TableContents"/>
              <w:bidi w:val="0"/>
              <w:spacing w:before="0" w:after="283"/>
              <w:jc w:val="left"/>
              <w:rPr/>
            </w:pPr>
            <w:r>
              <w:rPr/>
              <w:t> </w:t>
            </w:r>
          </w:p>
        </w:tc>
        <w:tc>
          <w:tcPr>
            <w:tcW w:w="152" w:type="dxa"/>
            <w:tcBorders>
              <w:bottom w:val="single" w:sz="12" w:space="0" w:color="000000"/>
            </w:tcBorders>
            <w:tcMar>
              <w:bottom w:w="28" w:type="dxa"/>
            </w:tcMar>
            <w:vAlign w:val="center"/>
          </w:tcPr>
          <w:p>
            <w:pPr>
              <w:pStyle w:val="TableContents"/>
              <w:bidi w:val="0"/>
              <w:spacing w:before="0" w:after="283"/>
              <w:jc w:val="left"/>
              <w:rPr/>
            </w:pPr>
            <w:r>
              <w:rPr/>
              <w:t> </w:t>
            </w:r>
          </w:p>
        </w:tc>
        <w:tc>
          <w:tcPr>
            <w:tcW w:w="610" w:type="dxa"/>
            <w:tcBorders>
              <w:bottom w:val="single" w:sz="12" w:space="0" w:color="000000"/>
            </w:tcBorders>
            <w:tcMar>
              <w:bottom w:w="28" w:type="dxa"/>
            </w:tcMar>
            <w:vAlign w:val="center"/>
          </w:tcPr>
          <w:p>
            <w:pPr>
              <w:pStyle w:val="TableContents"/>
              <w:bidi w:val="0"/>
              <w:spacing w:lineRule="auto" w:line="300" w:before="0" w:after="0"/>
              <w:jc w:val="right"/>
              <w:rPr/>
            </w:pPr>
            <w:r>
              <w:rPr/>
              <w:t>1,137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bottom w:val="single" w:sz="12" w:space="0" w:color="000000"/>
            </w:tcBorders>
            <w:tcMar>
              <w:bottom w:w="28" w:type="dxa"/>
            </w:tcMar>
            <w:vAlign w:val="center"/>
          </w:tcPr>
          <w:p>
            <w:pPr>
              <w:pStyle w:val="TableContents"/>
              <w:bidi w:val="0"/>
              <w:spacing w:before="0" w:after="283"/>
              <w:jc w:val="left"/>
              <w:rPr/>
            </w:pPr>
            <w:r>
              <w:rPr/>
              <w:t> </w:t>
            </w:r>
          </w:p>
        </w:tc>
        <w:tc>
          <w:tcPr>
            <w:tcW w:w="414" w:type="dxa"/>
            <w:tcBorders>
              <w:bottom w:val="single" w:sz="12" w:space="0" w:color="000000"/>
            </w:tcBorders>
            <w:tcMar>
              <w:bottom w:w="28" w:type="dxa"/>
            </w:tcMar>
            <w:vAlign w:val="center"/>
          </w:tcPr>
          <w:p>
            <w:pPr>
              <w:pStyle w:val="TableContents"/>
              <w:bidi w:val="0"/>
              <w:spacing w:lineRule="auto" w:line="300" w:before="0" w:after="0"/>
              <w:jc w:val="right"/>
              <w:rPr/>
            </w:pPr>
            <w:r>
              <w:rPr/>
              <w:t>970</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Audit Fees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Audit fees for the years ended December 31, 2023 and 2022 include fees for the audit of our annual financial statements. This category also includes services that the independent accountant generally provides, such as consents and assistance with statutory and regulatory filings or engagements and review of documents filed with the SEC.</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Tax Fees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Tax fees for the years ended December 31, 2023 and 2022 were related to ongoing tax advisory, tax compliance and tax planning services.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All Other Fees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All other fees in the years ended December 31, 2023 and 2022 related to services in connection with non-audit compliance and review work.</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Pre-Approval Policies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advance approval of the audit committee or members thereof, to whom approval authority has been delegated, is required for all audit and non- audit services provided by our auditors.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16D. Exemptions from the Listing Standards for Audit Committees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16E. Purchases of Equity Securities by the Issuer and Affiliated Purchasers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p>
      <w:pPr>
        <w:pStyle w:val="HorizontalLine"/>
        <w:bidi w:val="0"/>
        <w:spacing w:before="200" w:after="200"/>
        <w:jc w:val="left"/>
        <w:rPr/>
      </w:pPr>
      <w:r>
        <w:rPr/>
      </w:r>
    </w:p>
    <w:p>
      <w:pPr>
        <w:pStyle w:val="TextBody"/>
        <w:bidi w:val="0"/>
        <w:spacing w:lineRule="auto" w:line="300" w:before="0" w:after="0"/>
        <w:jc w:val="left"/>
        <w:rPr>
          <w:b/>
          <w:sz w:val="20"/>
        </w:rPr>
      </w:pPr>
      <w:r>
        <w:rPr>
          <w:b/>
          <w:sz w:val="20"/>
        </w:rPr>
        <w:t>Item 16F.</w:t>
      </w:r>
      <w:bookmarkStart w:id="617" w:name="Item16F."/>
      <w:bookmarkEnd w:id="617"/>
      <w:r>
        <w:rPr>
          <w:b/>
          <w:sz w:val="20"/>
        </w:rPr>
        <w:t xml:space="preserve"> Change in Registrant’s Certifying Accountant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16G. Corporate Governance</w:t>
      </w:r>
    </w:p>
    <w:p>
      <w:pPr>
        <w:pStyle w:val="TextBody"/>
        <w:bidi w:val="0"/>
        <w:spacing w:lineRule="auto" w:line="300" w:before="0" w:after="0"/>
        <w:jc w:val="left"/>
        <w:rPr/>
      </w:pPr>
      <w:r>
        <w:rPr/>
        <w:t> </w:t>
      </w:r>
    </w:p>
    <w:p>
      <w:pPr>
        <w:pStyle w:val="TextBody"/>
        <w:bidi w:val="0"/>
        <w:spacing w:lineRule="auto" w:line="240" w:before="0" w:after="0"/>
        <w:ind w:left="0" w:right="0" w:firstLine="720"/>
        <w:jc w:val="left"/>
        <w:rPr>
          <w:sz w:val="20"/>
        </w:rPr>
      </w:pPr>
      <w:r>
        <w:rPr>
          <w:sz w:val="20"/>
        </w:rPr>
        <w:t>We are a “foreign private issuer” (as such term is defined in Rule 3b-4 under the Exchange Act) and our ordinary shares are listed on the New York Stock Exchange. We believe the following to be the significant differences between our corporate governance practices and those applicable to U.S. companies under the NYSE listing standards. Under the New York Stock Exchange rules, listed companies that are foreign private issuers are permitted to follow home country practice in lieu of the corporate governance provisions specified by the New York Stock Exchange with limited exceptions. We rely on this “home country practice exemption” with respect to the quorum requirement for shareholder meetings. As permitted under the Companies Law, pursuant to our amended and restated articles of association, the quorum required for an ordinary meeting of shareholders consists of at least two shareholders present in person, by proxy or by other voting instrument in accordance with the Companies Law, who hold at least 25% of the voting power of our shares (and in an adjourned meeting, with some exceptions, any number of shareholders), instead of 331/3% of the issued share capital required under the New York Stock Exchange corporate governance rules.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otherwise comply with and intend to continue to comply with the rules generally applicable to U.S. domestic companies listed on the New York Stock Exchange. We may in the future, however, decide to use other foreign private issuer exemptions with respect to some or all of the other New York Stock Exchange listing rules. Following our home country governance practices may provide less protection than is accorded to investors under the New York Stock Exchange listing rules applicable to domestic issuers.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16H. Mine Safety Disclosure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16I. Disclosure Regarding Foreign Jurisdictions that Prevent Inspections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16J. Insider Trading Policies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16K. Cybersecurity</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Cybersecurity Risk Management and Strategy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held an ISO/IEC 27001 certification since 2019 and ISO 27701 certification since 2021. Both of these certifications demonstrate our commitment to better protect our marketplace and user data. Our commitment also extends to maintaining a PCI DSS (Payment Card Industry Data Security Standards) certification for payment transaction security.</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Our cybersecurity risk management program includes: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18" w:name="z2b68d6abad8c4856b0ccf29d6660a534"/>
      <w:bookmarkStart w:id="619" w:name="z2b68d6abad8c4856b0ccf29d6660a534"/>
      <w:bookmarkEnd w:id="6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risk assessments designed to help identify material cybersecurity risks to our critical systems, information, networks, products, platform, services, and our broader enterprise IT environment;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0" w:name="zcceab48652494bb8a5b55367fe6bec18"/>
      <w:bookmarkStart w:id="621" w:name="zcceab48652494bb8a5b55367fe6bec18"/>
      <w:bookmarkEnd w:id="62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 security team principally responsible for managing (1) our cybersecurity risk assessment processes, (2) our security controls, and (3) our response to cybersecurity incidents;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2" w:name="z981a4dadbc0c479d8a1967dc6c4f051b"/>
      <w:bookmarkStart w:id="623" w:name="z981a4dadbc0c479d8a1967dc6c4f051b"/>
      <w:bookmarkEnd w:id="62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use of external service providers, where appropriate, to assess, test or otherwise assist with aspects of our security controls;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4" w:name="z5d59cf3a922047b0961dc427e0e098ad"/>
      <w:bookmarkStart w:id="625" w:name="z5d59cf3a922047b0961dc427e0e098ad"/>
      <w:bookmarkEnd w:id="62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cybersecurity awareness training of our employees, incident response personnel, and senior management, including real-time problem-solving challenges in a safe environment that mimic cybersecurity incidents;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626" w:name="z40ef3573895b405fbf6d7e2186ee031a"/>
      <w:bookmarkStart w:id="627" w:name="z40ef3573895b405fbf6d7e2186ee031a"/>
      <w:bookmarkEnd w:id="62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 cybersecurity incident response plan that includes procedures for responding to cybersecurity incidents;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8" w:name="z403a8c79f6bd48e58fef525dc758fbae"/>
      <w:bookmarkStart w:id="629" w:name="z403a8c79f6bd48e58fef525dc758fbae"/>
      <w:bookmarkEnd w:id="629"/>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0"/>
              <w:jc w:val="left"/>
              <w:rPr/>
            </w:pPr>
            <w:r>
              <w:rPr/>
              <w:t>a third-party risk management process for service providers, suppliers, and vendors.</w:t>
            </w:r>
          </w:p>
        </w:tc>
      </w:tr>
    </w:tbl>
    <w:p>
      <w:pPr>
        <w:pStyle w:val="TextBody"/>
        <w:bidi w:val="0"/>
        <w:spacing w:lineRule="auto" w:line="300" w:before="0" w:after="0"/>
        <w:jc w:val="left"/>
        <w:rPr/>
      </w:pPr>
      <w:r>
        <w:rPr/>
        <w:t> </w:t>
      </w:r>
    </w:p>
    <w:p>
      <w:pPr>
        <w:pStyle w:val="TextBody"/>
        <w:bidi w:val="0"/>
        <w:spacing w:lineRule="auto" w:line="300" w:before="0" w:after="0"/>
        <w:ind w:left="0" w:right="0" w:firstLine="709"/>
        <w:jc w:val="left"/>
        <w:rPr>
          <w:sz w:val="20"/>
        </w:rPr>
      </w:pPr>
      <w:r>
        <w:rPr>
          <w:sz w:val="20"/>
        </w:rPr>
        <w:t>For the year ended December 31, 2023 and as of the date of this report, we have not identified cybersecurity incidents that have materially affected us, including our operations, business strategy, results of operations, or financial condition.</w:t>
      </w:r>
    </w:p>
    <w:p>
      <w:pPr>
        <w:pStyle w:val="TextBody"/>
        <w:bidi w:val="0"/>
        <w:spacing w:lineRule="auto" w:line="300" w:before="0" w:after="0"/>
        <w:jc w:val="left"/>
        <w:rPr/>
      </w:pPr>
      <w:r>
        <w:rPr/>
        <w:t> </w:t>
      </w:r>
    </w:p>
    <w:p>
      <w:pPr>
        <w:pStyle w:val="TextBody"/>
        <w:bidi w:val="0"/>
        <w:spacing w:lineRule="auto" w:line="300" w:before="0" w:after="0"/>
        <w:jc w:val="left"/>
        <w:rPr>
          <w:i/>
          <w:sz w:val="20"/>
        </w:rPr>
      </w:pPr>
      <w:r>
        <w:rPr>
          <w:i/>
          <w:sz w:val="20"/>
        </w:rPr>
        <w:t>Cybersecurity Governance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audit committee receives regular reports from management on our cybersecurity risks. In addition, management updates the audit committee, as necessary, regarding any material cybersecurity incidents, as well as any incidents with lesser impact potential.</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audit committee reports to the board of directors regarding its activities, including those related to cybersecurity and our cyber risk management program. The audit committee receives presentations on cybersecurity topics from our Chief Information Security Officer (CISO) or external experts as part of the committee’s continuing education on topics that impact public companies.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management team, including our VP Business Technologies and CISO,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has vast proven experience working in management roles related to cybersecurity, risk, and data privacy in various leading global companies, as well as industry certifications such as ISC² CISSP, EIMF-EXIN and MCSE.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cybersecurity steering committee meets on a regular basis and includes our COO, CISO, Data Protection Officer (DPO) and executives of our legal, product, R&amp;D and finance. The cybersecurity steering committee reviews any incidents that have occurred, vulnerabilities identified, and ongoing risks as presented in our risk map.</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Our management team and cybersecurity steering committee supervise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w:t>
      </w:r>
    </w:p>
    <w:p>
      <w:pPr>
        <w:pStyle w:val="HorizontalLine"/>
        <w:bidi w:val="0"/>
        <w:spacing w:before="200" w:after="200"/>
        <w:jc w:val="left"/>
        <w:rPr/>
      </w:pPr>
      <w:r>
        <w:rPr/>
      </w:r>
    </w:p>
    <w:p>
      <w:pPr>
        <w:pStyle w:val="TextBody"/>
        <w:bidi w:val="0"/>
        <w:spacing w:lineRule="auto" w:line="300" w:before="0" w:after="0"/>
        <w:jc w:val="center"/>
        <w:rPr>
          <w:b/>
          <w:sz w:val="20"/>
        </w:rPr>
      </w:pPr>
      <w:bookmarkStart w:id="630" w:name="PARTIII"/>
      <w:bookmarkEnd w:id="630"/>
      <w:r>
        <w:rPr>
          <w:b/>
          <w:sz w:val="20"/>
        </w:rPr>
        <w:t>PART III</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17.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We have provided financial statements pursuant to Item 18.</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18.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audited consolidated financial statements as required under Item 18 are attached hereto starting on page F-1 of this Annual Report. The audit report of Kost Forer Gabbay &amp; Kasierer, a member of Ernst &amp; Young Global, an independent registered public accounting firm, is included herein preceding the audited consolidated financial statements.</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Item 19. Exhibits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following are filed as exhibits hereto:</w:t>
      </w:r>
    </w:p>
    <w:p>
      <w:pPr>
        <w:pStyle w:val="TextBody"/>
        <w:bidi w:val="0"/>
        <w:spacing w:before="0" w:after="0"/>
        <w:jc w:val="left"/>
        <w:rPr/>
      </w:pPr>
      <w:r>
        <w:rPr/>
      </w:r>
    </w:p>
    <w:tbl>
      <w:tblPr>
        <w:tblW w:w="10205" w:type="dxa"/>
        <w:jc w:val="left"/>
        <w:tblInd w:w="0" w:type="dxa"/>
        <w:tblLayout w:type="fixed"/>
        <w:tblCellMar>
          <w:top w:w="28" w:type="dxa"/>
          <w:left w:w="28" w:type="dxa"/>
          <w:bottom w:w="0" w:type="dxa"/>
          <w:right w:w="0" w:type="dxa"/>
        </w:tblCellMar>
      </w:tblPr>
      <w:tblGrid>
        <w:gridCol w:w="973"/>
        <w:gridCol w:w="4774"/>
        <w:gridCol w:w="597"/>
        <w:gridCol w:w="950"/>
        <w:gridCol w:w="973"/>
        <w:gridCol w:w="866"/>
        <w:gridCol w:w="1072"/>
      </w:tblGrid>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458" w:type="dxa"/>
            <w:gridSpan w:val="5"/>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rPr>
            </w:pPr>
            <w:r>
              <w:rPr>
                <w:b/>
                <w:color w:val="000000"/>
              </w:rPr>
              <w:t>Incorporation by Reference</w:t>
            </w:r>
          </w:p>
        </w:tc>
      </w:tr>
      <w:tr>
        <w:trPr/>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Exhibit No.</w:t>
            </w:r>
          </w:p>
        </w:tc>
        <w:tc>
          <w:tcPr>
            <w:tcW w:w="477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Description</w:t>
            </w:r>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Form</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File No.</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Exhibit No.</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Filing Date</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rPr>
            </w:pPr>
            <w:r>
              <w:rPr>
                <w:b/>
                <w:color w:val="000000"/>
              </w:rPr>
              <w:t>Filed /</w:t>
              <w:br/>
              <w:t>Furnished</w:t>
            </w:r>
          </w:p>
        </w:tc>
      </w:tr>
      <w:tr>
        <w:trPr/>
        <w:tc>
          <w:tcPr>
            <w:tcW w:w="973" w:type="dxa"/>
            <w:tcBorders>
              <w:top w:val="single" w:sz="2" w:space="0" w:color="000000"/>
              <w:left w:val="single" w:sz="2" w:space="0" w:color="000000"/>
            </w:tcBorders>
            <w:vAlign w:val="center"/>
          </w:tcPr>
          <w:p>
            <w:pPr>
              <w:pStyle w:val="TableContents"/>
              <w:bidi w:val="0"/>
              <w:spacing w:lineRule="auto" w:line="300" w:before="0" w:after="0"/>
              <w:jc w:val="center"/>
              <w:rPr/>
            </w:pPr>
            <w:hyperlink r:id="rId72">
              <w:r>
                <w:rPr>
                  <w:rStyle w:val="InternetLink"/>
                  <w:b/>
                </w:rPr>
                <w:t>1.1</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73">
              <w:r>
                <w:rPr>
                  <w:rStyle w:val="InternetLink"/>
                  <w:b/>
                </w:rPr>
                <w:t>Amended and Restated Articles of Association of Fiverr International Ltd.</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6-K</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99.1</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10/27/2023</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2-1.htm">
              <w:r>
                <w:rPr>
                  <w:rStyle w:val="InternetLink"/>
                  <w:b/>
                </w:rPr>
                <w:t>2.1</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2-1.htm">
              <w:r>
                <w:rPr>
                  <w:rStyle w:val="InternetLink"/>
                  <w:b/>
                </w:rPr>
                <w:t>Description of Securities</w:t>
              </w:r>
            </w:hyperlink>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2.1</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rPr>
            </w:pPr>
            <w:r>
              <w:rPr>
                <w:b/>
                <w:color w:val="000000"/>
              </w:rPr>
              <w:t>*</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74">
              <w:r>
                <w:rPr>
                  <w:rStyle w:val="InternetLink"/>
                  <w:b/>
                </w:rPr>
                <w:t>4.1†</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75">
              <w:r>
                <w:rPr>
                  <w:rStyle w:val="InternetLink"/>
                  <w:b/>
                </w:rPr>
                <w:t>Form of Indemnification Agreement</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20-F</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4.1</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2/17/2022</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76">
              <w:r>
                <w:rPr>
                  <w:rStyle w:val="InternetLink"/>
                  <w:b/>
                </w:rPr>
                <w:t>4.2†</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77">
              <w:r>
                <w:rPr>
                  <w:rStyle w:val="InternetLink"/>
                  <w:b/>
                </w:rPr>
                <w:t>Compensation Policy for Directors and Officers</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6-K</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99.2</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10/27/2023</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78">
              <w:r>
                <w:rPr>
                  <w:rStyle w:val="InternetLink"/>
                  <w:b/>
                </w:rPr>
                <w:t>4.3†</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79">
              <w:r>
                <w:rPr>
                  <w:rStyle w:val="InternetLink"/>
                  <w:b/>
                </w:rPr>
                <w:t>2011 Share Option Plan, as amended and restated</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F-1</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333-231533</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10.3</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5/16/2019</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80">
              <w:r>
                <w:rPr>
                  <w:rStyle w:val="InternetLink"/>
                  <w:b/>
                </w:rPr>
                <w:t>4.4†</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81">
              <w:r>
                <w:rPr>
                  <w:rStyle w:val="InternetLink"/>
                  <w:b/>
                </w:rPr>
                <w:t>Amendment No. 2 to 2011 Share Option Plan</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F-1</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333-231533</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10.4</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5/16/2019</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82">
              <w:r>
                <w:rPr>
                  <w:rStyle w:val="InternetLink"/>
                  <w:b/>
                </w:rPr>
                <w:t>4.5†</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83">
              <w:r>
                <w:rPr>
                  <w:rStyle w:val="InternetLink"/>
                  <w:b/>
                </w:rPr>
                <w:t>Amendment No. 3 to 2011 Share Option Plan</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F-1</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333-231533</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10.5</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5/16/2019</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84">
              <w:r>
                <w:rPr>
                  <w:rStyle w:val="InternetLink"/>
                  <w:b/>
                </w:rPr>
                <w:t>4.6†</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85">
              <w:r>
                <w:rPr>
                  <w:rStyle w:val="InternetLink"/>
                  <w:b/>
                </w:rPr>
                <w:t>United States Sub-Plan to the 2011 Share Option Plan, as amended and restated</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F-1</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333-231533</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10.6</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5/16/2019</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86">
              <w:r>
                <w:rPr>
                  <w:rStyle w:val="InternetLink"/>
                  <w:b/>
                </w:rPr>
                <w:t>4.7†</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87">
              <w:r>
                <w:rPr>
                  <w:rStyle w:val="InternetLink"/>
                  <w:b/>
                </w:rPr>
                <w:t>Amendment No. 2 to the United States Sub-Plan to the 2011 Share Option Plan</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F-1</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333-231533</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10.7</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5/16/2019</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88">
              <w:r>
                <w:rPr>
                  <w:rStyle w:val="InternetLink"/>
                  <w:b/>
                </w:rPr>
                <w:t>4.8†</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89">
              <w:r>
                <w:rPr>
                  <w:rStyle w:val="InternetLink"/>
                  <w:b/>
                </w:rPr>
                <w:t>2019 Share Incentive Plan</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F-1/A</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333-231533</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10.8</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6/3/2019</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90">
              <w:r>
                <w:rPr>
                  <w:rStyle w:val="InternetLink"/>
                  <w:b/>
                </w:rPr>
                <w:t>4.9†</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91">
              <w:r>
                <w:rPr>
                  <w:rStyle w:val="InternetLink"/>
                  <w:b/>
                </w:rPr>
                <w:t>2020 Employee Share Purchase Plan</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S-8</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333-248580</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99.1</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9/3/2020</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lineRule="auto" w:line="240" w:before="0" w:after="0"/>
              <w:jc w:val="center"/>
              <w:rPr/>
            </w:pPr>
            <w:hyperlink r:id="rId92">
              <w:r>
                <w:rPr>
                  <w:rStyle w:val="InternetLink"/>
                  <w:b/>
                </w:rPr>
                <w:t>4.10†</w:t>
              </w:r>
            </w:hyperlink>
          </w:p>
        </w:tc>
        <w:tc>
          <w:tcPr>
            <w:tcW w:w="4774" w:type="dxa"/>
            <w:tcBorders>
              <w:top w:val="single" w:sz="2" w:space="0" w:color="000000"/>
              <w:left w:val="single" w:sz="2" w:space="0" w:color="000000"/>
            </w:tcBorders>
            <w:vAlign w:val="center"/>
          </w:tcPr>
          <w:p>
            <w:pPr>
              <w:pStyle w:val="TableContents"/>
              <w:bidi w:val="0"/>
              <w:spacing w:lineRule="auto" w:line="300" w:before="0" w:after="0"/>
              <w:jc w:val="left"/>
              <w:rPr/>
            </w:pPr>
            <w:hyperlink r:id="rId93">
              <w:r>
                <w:rPr>
                  <w:rStyle w:val="InternetLink"/>
                  <w:b/>
                </w:rPr>
                <w:t>2020 Employee Share Purchase Plan Israeli Appendix</w:t>
              </w:r>
            </w:hyperlink>
          </w:p>
        </w:tc>
        <w:tc>
          <w:tcPr>
            <w:tcW w:w="597"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20-F</w:t>
            </w:r>
          </w:p>
        </w:tc>
        <w:tc>
          <w:tcPr>
            <w:tcW w:w="95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97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4.10</w:t>
            </w:r>
          </w:p>
        </w:tc>
        <w:tc>
          <w:tcPr>
            <w:tcW w:w="866"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2/18/21</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77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97"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5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7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86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07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0" w:type="dxa"/>
          <w:right w:w="0" w:type="dxa"/>
        </w:tblCellMar>
      </w:tblPr>
      <w:tblGrid>
        <w:gridCol w:w="440"/>
        <w:gridCol w:w="7453"/>
        <w:gridCol w:w="285"/>
        <w:gridCol w:w="790"/>
        <w:gridCol w:w="440"/>
        <w:gridCol w:w="735"/>
        <w:gridCol w:w="62"/>
      </w:tblGrid>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94">
              <w:r>
                <w:rPr>
                  <w:rStyle w:val="InternetLink"/>
                  <w:b/>
                </w:rPr>
                <w:t>4.11</w:t>
              </w:r>
            </w:hyperlink>
          </w:p>
        </w:tc>
        <w:tc>
          <w:tcPr>
            <w:tcW w:w="7453" w:type="dxa"/>
            <w:tcBorders>
              <w:top w:val="single" w:sz="2" w:space="0" w:color="000000"/>
              <w:left w:val="single" w:sz="2" w:space="0" w:color="000000"/>
            </w:tcBorders>
            <w:vAlign w:val="center"/>
          </w:tcPr>
          <w:p>
            <w:pPr>
              <w:pStyle w:val="TableContents"/>
              <w:bidi w:val="0"/>
              <w:spacing w:lineRule="auto" w:line="300" w:before="0" w:after="0"/>
              <w:jc w:val="left"/>
              <w:rPr/>
            </w:pPr>
            <w:hyperlink r:id="rId95">
              <w:r>
                <w:rPr>
                  <w:rStyle w:val="InternetLink"/>
                  <w:b/>
                </w:rPr>
                <w:t>Indenture, dated as of October 13, 2020, by and between Fiverr International Ltd. and U.S. Bank National Association, as Trustee</w:t>
              </w:r>
            </w:hyperlink>
          </w:p>
        </w:tc>
        <w:tc>
          <w:tcPr>
            <w:tcW w:w="28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6-K</w:t>
            </w:r>
          </w:p>
        </w:tc>
        <w:tc>
          <w:tcPr>
            <w:tcW w:w="79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44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4.1</w:t>
            </w:r>
          </w:p>
        </w:tc>
        <w:tc>
          <w:tcPr>
            <w:tcW w:w="73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45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8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9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3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96">
              <w:r>
                <w:rPr>
                  <w:rStyle w:val="InternetLink"/>
                  <w:b/>
                </w:rPr>
                <w:t>4.12</w:t>
              </w:r>
            </w:hyperlink>
          </w:p>
        </w:tc>
        <w:tc>
          <w:tcPr>
            <w:tcW w:w="7453" w:type="dxa"/>
            <w:tcBorders>
              <w:top w:val="single" w:sz="2" w:space="0" w:color="000000"/>
              <w:left w:val="single" w:sz="2" w:space="0" w:color="000000"/>
            </w:tcBorders>
            <w:vAlign w:val="center"/>
          </w:tcPr>
          <w:p>
            <w:pPr>
              <w:pStyle w:val="TableContents"/>
              <w:bidi w:val="0"/>
              <w:spacing w:lineRule="auto" w:line="300" w:before="0" w:after="0"/>
              <w:jc w:val="left"/>
              <w:rPr/>
            </w:pPr>
            <w:hyperlink r:id="rId97">
              <w:r>
                <w:rPr>
                  <w:rStyle w:val="InternetLink"/>
                  <w:b/>
                </w:rPr>
                <w:t>Form of 0% Convertible Senior Note due 2025</w:t>
              </w:r>
            </w:hyperlink>
          </w:p>
        </w:tc>
        <w:tc>
          <w:tcPr>
            <w:tcW w:w="28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6-K</w:t>
            </w:r>
          </w:p>
        </w:tc>
        <w:tc>
          <w:tcPr>
            <w:tcW w:w="79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44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4.12</w:t>
            </w:r>
          </w:p>
        </w:tc>
        <w:tc>
          <w:tcPr>
            <w:tcW w:w="73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45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8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9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3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98">
              <w:r>
                <w:rPr>
                  <w:rStyle w:val="InternetLink"/>
                  <w:b/>
                </w:rPr>
                <w:t>4.13</w:t>
              </w:r>
            </w:hyperlink>
          </w:p>
        </w:tc>
        <w:tc>
          <w:tcPr>
            <w:tcW w:w="7453" w:type="dxa"/>
            <w:tcBorders>
              <w:top w:val="single" w:sz="2" w:space="0" w:color="000000"/>
              <w:left w:val="single" w:sz="2" w:space="0" w:color="000000"/>
            </w:tcBorders>
            <w:vAlign w:val="center"/>
          </w:tcPr>
          <w:p>
            <w:pPr>
              <w:pStyle w:val="TableContents"/>
              <w:bidi w:val="0"/>
              <w:spacing w:lineRule="auto" w:line="300" w:before="0" w:after="0"/>
              <w:jc w:val="left"/>
              <w:rPr/>
            </w:pPr>
            <w:hyperlink r:id="rId99">
              <w:r>
                <w:rPr>
                  <w:rStyle w:val="InternetLink"/>
                  <w:b/>
                </w:rPr>
                <w:t>Letter Agreement, dated as of October 7, 2020, between JP Morgan Chase Bank, National Association and the Company regarding the Base Capped Call Transaction</w:t>
              </w:r>
            </w:hyperlink>
          </w:p>
        </w:tc>
        <w:tc>
          <w:tcPr>
            <w:tcW w:w="28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6-K</w:t>
            </w:r>
          </w:p>
        </w:tc>
        <w:tc>
          <w:tcPr>
            <w:tcW w:w="79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001-38929</w:t>
            </w:r>
          </w:p>
        </w:tc>
        <w:tc>
          <w:tcPr>
            <w:tcW w:w="440"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10.1</w:t>
            </w:r>
          </w:p>
        </w:tc>
        <w:tc>
          <w:tcPr>
            <w:tcW w:w="73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rPr>
            </w:pPr>
            <w:r>
              <w:rPr>
                <w:b/>
                <w:color w:val="000000"/>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45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8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9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3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pPr>
            <w:hyperlink r:id="rId100">
              <w:r>
                <w:rPr>
                  <w:rStyle w:val="InternetLink"/>
                  <w:b/>
                </w:rPr>
                <w:t>4.14</w:t>
              </w:r>
            </w:hyperlink>
          </w:p>
        </w:tc>
        <w:tc>
          <w:tcPr>
            <w:tcW w:w="7453"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left"/>
              <w:rPr/>
            </w:pPr>
            <w:hyperlink r:id="rId101">
              <w:r>
                <w:rPr>
                  <w:rStyle w:val="InternetLink"/>
                  <w:b/>
                </w:rPr>
                <w:t>Letter Agreement, dated as of October 7, 2020, between Bank of Montreal and the Company regarding the Base Capped Call Transaction</w:t>
              </w:r>
            </w:hyperlink>
          </w:p>
        </w:tc>
        <w:tc>
          <w:tcPr>
            <w:tcW w:w="28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rPr>
            </w:pPr>
            <w:r>
              <w:rPr>
                <w:b/>
                <w:color w:val="000000"/>
              </w:rPr>
              <w:t>6-K</w:t>
            </w:r>
          </w:p>
        </w:tc>
        <w:tc>
          <w:tcPr>
            <w:tcW w:w="79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rPr>
            </w:pPr>
            <w:r>
              <w:rPr>
                <w:b/>
                <w:color w:val="000000"/>
              </w:rPr>
              <w:t>001-38929</w:t>
            </w:r>
          </w:p>
        </w:tc>
        <w:tc>
          <w:tcPr>
            <w:tcW w:w="44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rPr>
            </w:pPr>
            <w:r>
              <w:rPr>
                <w:b/>
                <w:color w:val="000000"/>
              </w:rPr>
              <w:t>10.2</w:t>
            </w:r>
          </w:p>
        </w:tc>
        <w:tc>
          <w:tcPr>
            <w:tcW w:w="73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rPr>
            </w:pPr>
            <w:r>
              <w:rPr>
                <w:b/>
                <w:color w:val="000000"/>
              </w:rPr>
              <w:t>10/13/2020</w:t>
            </w:r>
          </w:p>
        </w:tc>
        <w:tc>
          <w:tcPr>
            <w:tcW w:w="62"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105</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0" w:type="dxa"/>
          <w:right w:w="0" w:type="dxa"/>
        </w:tblCellMar>
      </w:tblPr>
      <w:tblGrid>
        <w:gridCol w:w="440"/>
        <w:gridCol w:w="7886"/>
        <w:gridCol w:w="225"/>
        <w:gridCol w:w="604"/>
        <w:gridCol w:w="425"/>
        <w:gridCol w:w="563"/>
        <w:gridCol w:w="62"/>
      </w:tblGrid>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02">
              <w:r>
                <w:rPr>
                  <w:rStyle w:val="InternetLink"/>
                  <w:b/>
                </w:rPr>
                <w:t>4.15</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03">
              <w:r>
                <w:rPr>
                  <w:rStyle w:val="InternetLink"/>
                  <w:b/>
                </w:rPr>
                <w:t>Letter Agreement, dated as of October 7, 2020, between Societe Generale and the Company regarding the Base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10.3</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04">
              <w:r>
                <w:rPr>
                  <w:rStyle w:val="InternetLink"/>
                  <w:b/>
                </w:rPr>
                <w:t>4.16</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05">
              <w:r>
                <w:rPr>
                  <w:rStyle w:val="InternetLink"/>
                  <w:b/>
                </w:rPr>
                <w:t>Letter Agreement, dated as of October 7, 2020, between Goldman Sachs &amp; Co. LLC and the Company regarding the Base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10.4</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06">
              <w:r>
                <w:rPr>
                  <w:rStyle w:val="InternetLink"/>
                  <w:b/>
                </w:rPr>
                <w:t>4.17</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07">
              <w:r>
                <w:rPr>
                  <w:rStyle w:val="InternetLink"/>
                  <w:b/>
                </w:rPr>
                <w:t>Letter Agreement, dated as of October 7, 2020, between Morgan Stanley &amp; Co. LLC and the Company regarding the Base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10.5</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08">
              <w:r>
                <w:rPr>
                  <w:rStyle w:val="InternetLink"/>
                  <w:b/>
                </w:rPr>
                <w:t>4.18</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09">
              <w:r>
                <w:rPr>
                  <w:rStyle w:val="InternetLink"/>
                  <w:b/>
                </w:rPr>
                <w:t>Letter Agreement, dated as of October 8, 2020, between JP Morgan Chase Bank, National Association and the Company regarding the Additional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10.6</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10">
              <w:r>
                <w:rPr>
                  <w:rStyle w:val="InternetLink"/>
                  <w:b/>
                </w:rPr>
                <w:t>4.19</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11">
              <w:r>
                <w:rPr>
                  <w:rStyle w:val="InternetLink"/>
                  <w:b/>
                </w:rPr>
                <w:t>Letter Agreement, dated as of October 8, 2020, between Bank of Montreal and the Company regarding the Additional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10.7</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12">
              <w:r>
                <w:rPr>
                  <w:rStyle w:val="InternetLink"/>
                  <w:b/>
                </w:rPr>
                <w:t>4.20</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13">
              <w:r>
                <w:rPr>
                  <w:rStyle w:val="InternetLink"/>
                  <w:b/>
                </w:rPr>
                <w:t>Letter Agreement, dated as of October 8, 2020, between Societe Generale and the Company regarding the Additional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10.8</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lineRule="auto" w:line="300" w:before="0" w:after="0"/>
              <w:jc w:val="center"/>
              <w:rPr/>
            </w:pPr>
            <w:hyperlink r:id="rId114">
              <w:r>
                <w:rPr>
                  <w:rStyle w:val="InternetLink"/>
                  <w:b/>
                </w:rPr>
                <w:t>4.21</w:t>
              </w:r>
            </w:hyperlink>
          </w:p>
        </w:tc>
        <w:tc>
          <w:tcPr>
            <w:tcW w:w="7886" w:type="dxa"/>
            <w:tcBorders>
              <w:top w:val="single" w:sz="2" w:space="0" w:color="000000"/>
              <w:left w:val="single" w:sz="2" w:space="0" w:color="000000"/>
            </w:tcBorders>
            <w:vAlign w:val="center"/>
          </w:tcPr>
          <w:p>
            <w:pPr>
              <w:pStyle w:val="TableContents"/>
              <w:bidi w:val="0"/>
              <w:spacing w:lineRule="auto" w:line="300" w:before="0" w:after="0"/>
              <w:jc w:val="left"/>
              <w:rPr/>
            </w:pPr>
            <w:hyperlink r:id="rId115">
              <w:r>
                <w:rPr>
                  <w:rStyle w:val="InternetLink"/>
                  <w:b/>
                </w:rPr>
                <w:t>Letter Agreement, dated as of October 8, 2020, between Goldman Sachs &amp; Co. LLC and the Company regarding the Additional Capped Call Transaction</w:t>
              </w:r>
            </w:hyperlink>
          </w:p>
        </w:tc>
        <w:tc>
          <w:tcPr>
            <w:tcW w:w="2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10.9</w:t>
            </w:r>
          </w:p>
        </w:tc>
        <w:tc>
          <w:tcPr>
            <w:tcW w:w="563" w:type="dxa"/>
            <w:tcBorders>
              <w:top w:val="single" w:sz="2" w:space="0" w:color="000000"/>
              <w:left w:val="single" w:sz="2" w:space="0" w:color="000000"/>
            </w:tcBorders>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788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2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4"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42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563"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2"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44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pPr>
            <w:hyperlink r:id="rId116">
              <w:r>
                <w:rPr>
                  <w:rStyle w:val="InternetLink"/>
                  <w:b/>
                </w:rPr>
                <w:t>4.22</w:t>
              </w:r>
            </w:hyperlink>
          </w:p>
        </w:tc>
        <w:tc>
          <w:tcPr>
            <w:tcW w:w="788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left"/>
              <w:rPr/>
            </w:pPr>
            <w:hyperlink r:id="rId117">
              <w:r>
                <w:rPr>
                  <w:rStyle w:val="InternetLink"/>
                  <w:b/>
                </w:rPr>
                <w:t>Letter Agreement, dated as of October 8, 2020, between Morgan Stanley &amp; Co. LLC and the Company regarding the Additional Capped Call Transaction</w:t>
              </w:r>
            </w:hyperlink>
          </w:p>
        </w:tc>
        <w:tc>
          <w:tcPr>
            <w:tcW w:w="22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sz w:val="18"/>
              </w:rPr>
            </w:pPr>
            <w:r>
              <w:rPr>
                <w:b/>
                <w:color w:val="000000"/>
                <w:sz w:val="18"/>
              </w:rPr>
              <w:t>6-K</w:t>
            </w:r>
          </w:p>
        </w:tc>
        <w:tc>
          <w:tcPr>
            <w:tcW w:w="604"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sz w:val="18"/>
              </w:rPr>
            </w:pPr>
            <w:r>
              <w:rPr>
                <w:b/>
                <w:color w:val="000000"/>
                <w:sz w:val="18"/>
              </w:rPr>
              <w:t>001-38929</w:t>
            </w:r>
          </w:p>
        </w:tc>
        <w:tc>
          <w:tcPr>
            <w:tcW w:w="42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sz w:val="18"/>
              </w:rPr>
            </w:pPr>
            <w:r>
              <w:rPr>
                <w:b/>
                <w:color w:val="000000"/>
                <w:sz w:val="18"/>
              </w:rPr>
              <w:t>10.10</w:t>
            </w:r>
          </w:p>
        </w:tc>
        <w:tc>
          <w:tcPr>
            <w:tcW w:w="563"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color w:val="000000"/>
                <w:sz w:val="18"/>
              </w:rPr>
            </w:pPr>
            <w:r>
              <w:rPr>
                <w:b/>
                <w:color w:val="000000"/>
                <w:sz w:val="18"/>
              </w:rPr>
              <w:t>10/13/2020</w:t>
            </w:r>
          </w:p>
        </w:tc>
        <w:tc>
          <w:tcPr>
            <w:tcW w:w="62"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106</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0" w:type="dxa"/>
          <w:right w:w="0" w:type="dxa"/>
        </w:tblCellMar>
      </w:tblPr>
      <w:tblGrid>
        <w:gridCol w:w="749"/>
        <w:gridCol w:w="9046"/>
        <w:gridCol w:w="60"/>
        <w:gridCol w:w="60"/>
        <w:gridCol w:w="60"/>
        <w:gridCol w:w="60"/>
        <w:gridCol w:w="170"/>
      </w:tblGrid>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8-1.htm">
              <w:r>
                <w:rPr>
                  <w:rStyle w:val="InternetLink"/>
                  <w:b/>
                </w:rPr>
                <w:t>8.1</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8-1.htm">
              <w:r>
                <w:rPr>
                  <w:rStyle w:val="InternetLink"/>
                  <w:b/>
                </w:rPr>
                <w:t>List of Subsidiaries.</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12-1.htm">
              <w:r>
                <w:rPr>
                  <w:rStyle w:val="InternetLink"/>
                  <w:b/>
                </w:rPr>
                <w:t>12.1</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12-1.htm">
              <w:r>
                <w:rPr>
                  <w:rStyle w:val="InternetLink"/>
                  <w:b/>
                </w:rPr>
                <w:t>Principal Executive Officer Certification Pursuant to Section 302 of the Sarbanes-Oxley Act of 2002.</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12-2.htm">
              <w:r>
                <w:rPr>
                  <w:rStyle w:val="InternetLink"/>
                  <w:b/>
                </w:rPr>
                <w:t>12.2</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12-2.htm">
              <w:r>
                <w:rPr>
                  <w:rStyle w:val="InternetLink"/>
                  <w:b/>
                </w:rPr>
                <w:t>Principal Financial Officer Certification Pursuant to Section 302 of the Sarbanes-Oxley Act of 2002.</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13-1.htm">
              <w:r>
                <w:rPr>
                  <w:rStyle w:val="InternetLink"/>
                  <w:b/>
                </w:rPr>
                <w:t>13.1</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13-1.htm">
              <w:r>
                <w:rPr>
                  <w:rStyle w:val="InternetLink"/>
                  <w:b/>
                </w:rPr>
                <w:t>Principal Executive Officer Certification Pursuant to Section 906 of the Sarbanes-Oxley Act of 2002.</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13-2.htm">
              <w:r>
                <w:rPr>
                  <w:rStyle w:val="InternetLink"/>
                  <w:b/>
                </w:rPr>
                <w:t>13.2</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13-2.htm">
              <w:r>
                <w:rPr>
                  <w:rStyle w:val="InternetLink"/>
                  <w:b/>
                </w:rPr>
                <w:t>Principal Financial Officer Certification Pursuant to Section 906 of the Sarbanes-Oxley Act of 2002.</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15-1.htm">
              <w:r>
                <w:rPr>
                  <w:rStyle w:val="InternetLink"/>
                  <w:b/>
                </w:rPr>
                <w:t>15.1</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15-1.htm">
              <w:r>
                <w:rPr>
                  <w:rStyle w:val="InternetLink"/>
                  <w:b/>
                </w:rPr>
                <w:t>Consent of Kost Forer Gabbay &amp; Kasierer, a member of Ernst &amp; Young Global, an independent registered public accounting firm.</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pPr>
            <w:hyperlink w:anchor="exhibit_97-1.htm">
              <w:r>
                <w:rPr>
                  <w:rStyle w:val="InternetLink"/>
                  <w:b/>
                </w:rPr>
                <w:t>97.1</w:t>
              </w:r>
            </w:hyperlink>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pPr>
            <w:hyperlink w:anchor="exhibit_97-1.htm">
              <w:r>
                <w:rPr>
                  <w:rStyle w:val="InternetLink"/>
                  <w:b/>
                </w:rPr>
                <w:t>Policy for Recovery of Erroneously Awarded Compensation</w:t>
              </w:r>
            </w:hyperlink>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center"/>
              <w:rPr/>
            </w:pPr>
            <w:r>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101.INS</w:t>
            </w:r>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Inline XBRL Instance Document – the instance document appear in the Interactive Data File because its XBRL tags are embedded within the Inline XBRL document.</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101.SCH</w:t>
            </w:r>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Inline XBRL Taxonomy Extension Schema Document.</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101.CAL</w:t>
            </w:r>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Inline XBRL Taxonomy Extension Calculation Linkbase Document.</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101.DEF</w:t>
            </w:r>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Inline XBRL Taxonomy Definition Linkbase Document.</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101.LAB</w:t>
            </w:r>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Inline XBRL Taxonomy Extension Label Linkbase Document.</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101.PRE</w:t>
            </w:r>
          </w:p>
        </w:tc>
        <w:tc>
          <w:tcPr>
            <w:tcW w:w="9046"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Inline XBRL Taxonomy Extension Presentation Linkbase Document</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color w:val="000000"/>
                <w:sz w:val="18"/>
              </w:rPr>
            </w:pPr>
            <w:r>
              <w:rPr>
                <w:b/>
                <w:color w:val="000000"/>
                <w:sz w:val="18"/>
              </w:rPr>
              <w:t>*</w:t>
            </w:r>
          </w:p>
        </w:tc>
      </w:tr>
      <w:tr>
        <w:trPr/>
        <w:tc>
          <w:tcPr>
            <w:tcW w:w="749"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9046"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7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749"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rPr>
            </w:pPr>
            <w:r>
              <w:rPr>
                <w:b/>
              </w:rPr>
              <w:t>104</w:t>
            </w:r>
          </w:p>
        </w:tc>
        <w:tc>
          <w:tcPr>
            <w:tcW w:w="904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left"/>
              <w:rPr>
                <w:b/>
              </w:rPr>
            </w:pPr>
            <w:r>
              <w:rPr>
                <w:b/>
              </w:rPr>
              <w:t>Cover Page Interactive Data File (formatted as Inline XBRL and contained in Exhibit 101)</w:t>
            </w:r>
          </w:p>
        </w:tc>
        <w:tc>
          <w:tcPr>
            <w:tcW w:w="6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lineRule="auto" w:line="300" w:before="0" w:after="0"/>
              <w:jc w:val="center"/>
              <w:rPr>
                <w:b/>
                <w:color w:val="000000"/>
                <w:sz w:val="18"/>
              </w:rPr>
            </w:pPr>
            <w:r>
              <w:rPr>
                <w:b/>
                <w:color w:val="000000"/>
                <w:sz w:val="18"/>
              </w:rPr>
              <w:t>*</w:t>
            </w:r>
          </w:p>
        </w:tc>
      </w:tr>
    </w:tbl>
    <w:p>
      <w:pPr>
        <w:pStyle w:val="TextBody"/>
        <w:bidi w:val="0"/>
        <w:spacing w:lineRule="auto" w:line="300" w:before="0" w:after="0"/>
        <w:jc w:val="left"/>
        <w:rPr/>
      </w:pPr>
      <w:r>
        <w:rPr/>
        <w:t xml:space="preserve">  </w:t>
      </w:r>
    </w:p>
    <w:p>
      <w:pPr>
        <w:pStyle w:val="HorizontalLine"/>
        <w:bidi w:val="0"/>
        <w:spacing w:lineRule="auto" w:line="300"/>
        <w:jc w:val="left"/>
        <w:rPr/>
      </w:pPr>
      <w:r>
        <w:rPr/>
      </w:r>
    </w:p>
    <w:p>
      <w:pPr>
        <w:pStyle w:val="TextBody"/>
        <w:bidi w:val="0"/>
        <w:spacing w:lineRule="auto" w:line="300" w:before="0" w:after="0"/>
        <w:jc w:val="left"/>
        <w:rPr>
          <w:sz w:val="20"/>
        </w:rPr>
      </w:pPr>
      <w:r>
        <w:rPr>
          <w:sz w:val="20"/>
        </w:rPr>
        <w:t>*     Filed herewith.</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   Furnished herewith.</w:t>
      </w:r>
    </w:p>
    <w:p>
      <w:pPr>
        <w:pStyle w:val="TextBody"/>
        <w:bidi w:val="0"/>
        <w:spacing w:lineRule="auto" w:line="300" w:before="0" w:after="0"/>
        <w:jc w:val="left"/>
        <w:rPr/>
      </w:pPr>
      <w:r>
        <w:rPr/>
        <w:t> </w:t>
      </w:r>
    </w:p>
    <w:p>
      <w:pPr>
        <w:pStyle w:val="TextBody"/>
        <w:bidi w:val="0"/>
        <w:spacing w:lineRule="auto" w:line="300" w:before="0" w:after="0"/>
        <w:jc w:val="left"/>
        <w:rPr/>
      </w:pPr>
      <w:r>
        <w:rPr/>
        <w:t xml:space="preserve">†     </w:t>
      </w:r>
      <w:r>
        <w:rPr>
          <w:sz w:val="20"/>
        </w:rPr>
        <w:t>Indicates management contract or compensatory plan or arrangement.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107</w:t>
      </w:r>
    </w:p>
    <w:p>
      <w:pPr>
        <w:pStyle w:val="HorizontalLine"/>
        <w:bidi w:val="0"/>
        <w:spacing w:before="200" w:after="200"/>
        <w:jc w:val="left"/>
        <w:rPr/>
      </w:pPr>
      <w:r>
        <w:rPr/>
      </w:r>
    </w:p>
    <w:p>
      <w:pPr>
        <w:pStyle w:val="TextBody"/>
        <w:bidi w:val="0"/>
        <w:spacing w:lineRule="auto" w:line="300" w:before="0" w:after="0"/>
        <w:jc w:val="center"/>
        <w:rPr>
          <w:b/>
          <w:sz w:val="20"/>
        </w:rPr>
      </w:pPr>
      <w:bookmarkStart w:id="631" w:name="SIGNATURES"/>
      <w:bookmarkEnd w:id="631"/>
      <w:r>
        <w:rPr>
          <w:b/>
          <w:sz w:val="20"/>
        </w:rPr>
        <w:t>SIGNATURES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registrant hereby certifies that it meets all of the requirements for filing on Form 20-F and that it has duly caused and authorized the undersigned to sign this annual report on its behalf.</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32" w:name="z58404396acfe41dca305152d6fd3c526"/>
      <w:bookmarkStart w:id="633" w:name="z58404396acfe41dca305152d6fd3c526"/>
      <w:bookmarkEnd w:id="633"/>
    </w:p>
    <w:tbl>
      <w:tblPr>
        <w:tblW w:w="6600" w:type="dxa"/>
        <w:jc w:val="left"/>
        <w:tblInd w:w="0" w:type="dxa"/>
        <w:tblLayout w:type="fixed"/>
        <w:tblCellMar>
          <w:top w:w="0" w:type="dxa"/>
          <w:left w:w="0" w:type="dxa"/>
          <w:bottom w:w="0" w:type="dxa"/>
          <w:right w:w="0" w:type="dxa"/>
        </w:tblCellMar>
      </w:tblPr>
      <w:tblGrid>
        <w:gridCol w:w="2345"/>
        <w:gridCol w:w="650"/>
        <w:gridCol w:w="3545"/>
        <w:gridCol w:w="60"/>
      </w:tblGrid>
      <w:tr>
        <w:trPr/>
        <w:tc>
          <w:tcPr>
            <w:tcW w:w="234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lineRule="auto" w:line="300" w:before="0" w:after="0"/>
              <w:jc w:val="left"/>
              <w:rPr>
                <w:b/>
              </w:rPr>
            </w:pPr>
            <w:r>
              <w:rPr>
                <w:b/>
              </w:rPr>
              <w:t>FIVERR INTERNATIONAL LTD.</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lineRule="auto" w:line="300" w:before="0" w:after="0"/>
              <w:jc w:val="left"/>
              <w:rPr/>
            </w:pPr>
            <w:r>
              <w:rPr/>
              <w:t>Date: February 22, 2024</w:t>
            </w:r>
          </w:p>
        </w:tc>
        <w:tc>
          <w:tcPr>
            <w:tcW w:w="650" w:type="dxa"/>
            <w:tcBorders/>
            <w:vAlign w:val="center"/>
          </w:tcPr>
          <w:p>
            <w:pPr>
              <w:pStyle w:val="TableContents"/>
              <w:bidi w:val="0"/>
              <w:spacing w:lineRule="auto" w:line="300" w:before="0" w:after="0"/>
              <w:jc w:val="left"/>
              <w:rPr/>
            </w:pPr>
            <w:r>
              <w:rPr/>
              <w:t>By:</w:t>
            </w:r>
          </w:p>
        </w:tc>
        <w:tc>
          <w:tcPr>
            <w:tcW w:w="3545" w:type="dxa"/>
            <w:tcBorders>
              <w:bottom w:val="single" w:sz="12" w:space="0" w:color="000000"/>
            </w:tcBorders>
            <w:tcMar>
              <w:bottom w:w="28" w:type="dxa"/>
            </w:tcMar>
            <w:vAlign w:val="center"/>
          </w:tcPr>
          <w:p>
            <w:pPr>
              <w:pStyle w:val="TableContents"/>
              <w:bidi w:val="0"/>
              <w:spacing w:lineRule="auto" w:line="300" w:before="0" w:after="0"/>
              <w:jc w:val="left"/>
              <w:rPr/>
            </w:pPr>
            <w:r>
              <w:rPr/>
              <w:t>/s/ Micha Kaufman</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Name:</w:t>
            </w:r>
          </w:p>
        </w:tc>
        <w:tc>
          <w:tcPr>
            <w:tcW w:w="3545" w:type="dxa"/>
            <w:tcBorders/>
            <w:vAlign w:val="center"/>
          </w:tcPr>
          <w:p>
            <w:pPr>
              <w:pStyle w:val="TableContents"/>
              <w:bidi w:val="0"/>
              <w:spacing w:lineRule="auto" w:line="300" w:before="0" w:after="0"/>
              <w:jc w:val="left"/>
              <w:rPr/>
            </w:pPr>
            <w:r>
              <w:rPr/>
              <w:t>Micha Kaufman</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Title:</w:t>
            </w:r>
          </w:p>
        </w:tc>
        <w:tc>
          <w:tcPr>
            <w:tcW w:w="3545" w:type="dxa"/>
            <w:tcBorders/>
            <w:vAlign w:val="center"/>
          </w:tcPr>
          <w:p>
            <w:pPr>
              <w:pStyle w:val="TableContents"/>
              <w:bidi w:val="0"/>
              <w:spacing w:lineRule="auto" w:line="300" w:before="0" w:after="0"/>
              <w:jc w:val="left"/>
              <w:rPr/>
            </w:pPr>
            <w:r>
              <w:rPr/>
              <w:t>Chief Executive Officer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lineRule="auto" w:line="300" w:before="0" w:after="0"/>
              <w:jc w:val="left"/>
              <w:rPr/>
            </w:pPr>
            <w:r>
              <w:rPr/>
              <w:t>Date: February 22, 2024</w:t>
            </w:r>
          </w:p>
        </w:tc>
        <w:tc>
          <w:tcPr>
            <w:tcW w:w="650" w:type="dxa"/>
            <w:tcBorders/>
            <w:vAlign w:val="center"/>
          </w:tcPr>
          <w:p>
            <w:pPr>
              <w:pStyle w:val="TableContents"/>
              <w:bidi w:val="0"/>
              <w:spacing w:lineRule="auto" w:line="300" w:before="0" w:after="0"/>
              <w:jc w:val="left"/>
              <w:rPr/>
            </w:pPr>
            <w:r>
              <w:rPr/>
              <w:t>By:</w:t>
            </w:r>
          </w:p>
        </w:tc>
        <w:tc>
          <w:tcPr>
            <w:tcW w:w="3545" w:type="dxa"/>
            <w:tcBorders>
              <w:bottom w:val="single" w:sz="12" w:space="0" w:color="000000"/>
            </w:tcBorders>
            <w:tcMar>
              <w:bottom w:w="28" w:type="dxa"/>
            </w:tcMar>
            <w:vAlign w:val="center"/>
          </w:tcPr>
          <w:p>
            <w:pPr>
              <w:pStyle w:val="TableContents"/>
              <w:bidi w:val="0"/>
              <w:spacing w:lineRule="auto" w:line="300" w:before="0" w:after="0"/>
              <w:jc w:val="left"/>
              <w:rPr/>
            </w:pPr>
            <w:r>
              <w:rPr/>
              <w:t>/s/ Ofer Katz</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Name:</w:t>
            </w:r>
          </w:p>
        </w:tc>
        <w:tc>
          <w:tcPr>
            <w:tcW w:w="3545" w:type="dxa"/>
            <w:tcBorders/>
            <w:vAlign w:val="center"/>
          </w:tcPr>
          <w:p>
            <w:pPr>
              <w:pStyle w:val="TableContents"/>
              <w:bidi w:val="0"/>
              <w:spacing w:lineRule="auto" w:line="300" w:before="0" w:after="0"/>
              <w:jc w:val="left"/>
              <w:rPr/>
            </w:pPr>
            <w:r>
              <w:rPr/>
              <w:t>Ofer Katz</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Title:</w:t>
            </w:r>
          </w:p>
        </w:tc>
        <w:tc>
          <w:tcPr>
            <w:tcW w:w="3545" w:type="dxa"/>
            <w:tcBorders/>
            <w:vAlign w:val="center"/>
          </w:tcPr>
          <w:p>
            <w:pPr>
              <w:pStyle w:val="TableContents"/>
              <w:bidi w:val="0"/>
              <w:spacing w:lineRule="auto" w:line="300" w:before="0" w:after="0"/>
              <w:jc w:val="left"/>
              <w:rPr/>
            </w:pPr>
            <w:r>
              <w:rPr/>
              <w:t>President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pPr>
      <w:r>
        <w:rPr/>
      </w:r>
    </w:p>
    <w:p>
      <w:pPr>
        <w:pStyle w:val="TextBody"/>
        <w:bidi w:val="0"/>
        <w:spacing w:before="0" w:after="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b/>
          <w:sz w:val="20"/>
        </w:rPr>
      </w:pPr>
      <w:bookmarkStart w:id="634" w:name="a_001"/>
      <w:bookmarkEnd w:id="634"/>
      <w:r>
        <w:rPr>
          <w:b/>
          <w:sz w:val="20"/>
        </w:rPr>
        <w:t>Fiverr International Ltd.</w:t>
      </w:r>
    </w:p>
    <w:p>
      <w:pPr>
        <w:pStyle w:val="TextBody"/>
        <w:bidi w:val="0"/>
        <w:spacing w:lineRule="auto" w:line="300" w:before="0" w:after="0"/>
        <w:jc w:val="left"/>
        <w:rPr>
          <w:b/>
          <w:sz w:val="20"/>
        </w:rPr>
      </w:pPr>
      <w:r>
        <w:rPr>
          <w:b/>
          <w:sz w:val="20"/>
        </w:rPr>
        <w:t>Consolidated financial statements</w:t>
      </w:r>
    </w:p>
    <w:p>
      <w:pPr>
        <w:pStyle w:val="TextBody"/>
        <w:bidi w:val="0"/>
        <w:spacing w:lineRule="auto" w:line="300" w:before="0" w:after="0"/>
        <w:jc w:val="left"/>
        <w:rPr>
          <w:b/>
          <w:sz w:val="20"/>
        </w:rPr>
      </w:pPr>
      <w:r>
        <w:rPr>
          <w:b/>
          <w:sz w:val="20"/>
        </w:rPr>
        <w:t>In U.S. dollars</w:t>
      </w:r>
    </w:p>
    <w:p>
      <w:pPr>
        <w:pStyle w:val="TextBody"/>
        <w:bidi w:val="0"/>
        <w:spacing w:lineRule="auto" w:line="300" w:before="0" w:after="0"/>
        <w:jc w:val="left"/>
        <w:rPr>
          <w:b/>
          <w:sz w:val="20"/>
        </w:rPr>
      </w:pPr>
      <w:r>
        <w:rPr>
          <w:b/>
          <w:sz w:val="20"/>
        </w:rPr>
        <w:t>Index</w:t>
      </w:r>
    </w:p>
    <w:p>
      <w:pPr>
        <w:pStyle w:val="TextBody"/>
        <w:bidi w:val="0"/>
        <w:spacing w:lineRule="auto" w:line="300" w:before="0" w:after="0"/>
        <w:jc w:val="left"/>
        <w:rPr/>
      </w:pPr>
      <w:r>
        <w:rPr/>
        <w:t> </w:t>
      </w:r>
    </w:p>
    <w:tbl>
      <w:tblPr>
        <w:tblW w:w="6865" w:type="dxa"/>
        <w:jc w:val="left"/>
        <w:tblInd w:w="0" w:type="dxa"/>
        <w:tblLayout w:type="fixed"/>
        <w:tblCellMar>
          <w:top w:w="30" w:type="dxa"/>
          <w:left w:w="30" w:type="dxa"/>
          <w:bottom w:w="30" w:type="dxa"/>
          <w:right w:w="30" w:type="dxa"/>
        </w:tblCellMar>
      </w:tblPr>
      <w:tblGrid>
        <w:gridCol w:w="5720"/>
        <w:gridCol w:w="1145"/>
      </w:tblGrid>
      <w:tr>
        <w:trPr/>
        <w:tc>
          <w:tcPr>
            <w:tcW w:w="5720" w:type="dxa"/>
            <w:tcBorders/>
            <w:vAlign w:val="center"/>
          </w:tcPr>
          <w:p>
            <w:pPr>
              <w:pStyle w:val="TableContents"/>
              <w:bidi w:val="0"/>
              <w:spacing w:lineRule="auto" w:line="300" w:before="0" w:after="0"/>
              <w:jc w:val="left"/>
              <w:rPr/>
            </w:pPr>
            <w:r>
              <w:rPr/>
              <w:t> </w:t>
            </w:r>
          </w:p>
        </w:tc>
        <w:tc>
          <w:tcPr>
            <w:tcW w:w="1145" w:type="dxa"/>
            <w:tcBorders/>
            <w:vAlign w:val="center"/>
          </w:tcPr>
          <w:p>
            <w:pPr>
              <w:pStyle w:val="TableContents"/>
              <w:bidi w:val="0"/>
              <w:spacing w:lineRule="auto" w:line="300" w:before="0" w:after="0"/>
              <w:jc w:val="right"/>
              <w:rPr>
                <w:b/>
              </w:rPr>
            </w:pPr>
            <w:r>
              <w:rPr>
                <w:b/>
              </w:rPr>
              <w:t>Page</w:t>
            </w:r>
          </w:p>
        </w:tc>
      </w:tr>
      <w:tr>
        <w:trPr/>
        <w:tc>
          <w:tcPr>
            <w:tcW w:w="5720" w:type="dxa"/>
            <w:tcBorders/>
            <w:vAlign w:val="center"/>
          </w:tcPr>
          <w:p>
            <w:pPr>
              <w:pStyle w:val="TableContents"/>
              <w:bidi w:val="0"/>
              <w:spacing w:lineRule="auto" w:line="300" w:before="0" w:after="0"/>
              <w:jc w:val="left"/>
              <w:rPr/>
            </w:pPr>
            <w:hyperlink w:anchor="REPORTOFINDEPENDENTREGIST_integixAnchor">
              <w:r>
                <w:rPr>
                  <w:rStyle w:val="InternetLink"/>
                  <w:b/>
                  <w:u w:val="single"/>
                </w:rPr>
                <w:t>Report of independent auditors</w:t>
              </w:r>
            </w:hyperlink>
            <w:r>
              <w:rPr>
                <w:b/>
              </w:rPr>
              <w:t xml:space="preserve"> (PCAOB ID 1281)</w:t>
            </w:r>
          </w:p>
        </w:tc>
        <w:tc>
          <w:tcPr>
            <w:tcW w:w="1145" w:type="dxa"/>
            <w:tcBorders/>
            <w:vAlign w:val="center"/>
          </w:tcPr>
          <w:p>
            <w:pPr>
              <w:pStyle w:val="TableContents"/>
              <w:bidi w:val="0"/>
              <w:spacing w:lineRule="auto" w:line="300" w:before="0" w:after="0"/>
              <w:jc w:val="right"/>
              <w:rPr/>
            </w:pPr>
            <w:r>
              <w:rPr/>
              <w:t>F-2</w:t>
            </w:r>
          </w:p>
        </w:tc>
      </w:tr>
      <w:tr>
        <w:trPr/>
        <w:tc>
          <w:tcPr>
            <w:tcW w:w="5720" w:type="dxa"/>
            <w:tcBorders/>
            <w:vAlign w:val="center"/>
          </w:tcPr>
          <w:p>
            <w:pPr>
              <w:pStyle w:val="TableContents"/>
              <w:bidi w:val="0"/>
              <w:spacing w:lineRule="auto" w:line="300" w:before="0" w:after="0"/>
              <w:jc w:val="left"/>
              <w:rPr/>
            </w:pPr>
            <w:hyperlink w:anchor="Consolidatedbalancesheets_integixAnchor">
              <w:r>
                <w:rPr>
                  <w:rStyle w:val="InternetLink"/>
                  <w:b/>
                  <w:u w:val="single"/>
                </w:rPr>
                <w:t>Consolidated balance sheets</w:t>
              </w:r>
            </w:hyperlink>
          </w:p>
        </w:tc>
        <w:tc>
          <w:tcPr>
            <w:tcW w:w="1145" w:type="dxa"/>
            <w:tcBorders/>
            <w:vAlign w:val="center"/>
          </w:tcPr>
          <w:p>
            <w:pPr>
              <w:pStyle w:val="TableContents"/>
              <w:bidi w:val="0"/>
              <w:spacing w:lineRule="auto" w:line="300" w:before="0" w:after="0"/>
              <w:jc w:val="right"/>
              <w:rPr/>
            </w:pPr>
            <w:r>
              <w:rPr/>
              <w:t>F-5</w:t>
            </w:r>
          </w:p>
        </w:tc>
      </w:tr>
      <w:tr>
        <w:trPr/>
        <w:tc>
          <w:tcPr>
            <w:tcW w:w="5720" w:type="dxa"/>
            <w:tcBorders/>
            <w:vAlign w:val="center"/>
          </w:tcPr>
          <w:p>
            <w:pPr>
              <w:pStyle w:val="TableContents"/>
              <w:bidi w:val="0"/>
              <w:spacing w:lineRule="auto" w:line="300" w:before="0" w:after="0"/>
              <w:jc w:val="left"/>
              <w:rPr/>
            </w:pPr>
            <w:hyperlink w:anchor="Consolidatedstatementsofo_integixAnchor">
              <w:r>
                <w:rPr>
                  <w:rStyle w:val="InternetLink"/>
                  <w:b/>
                  <w:u w:val="single"/>
                </w:rPr>
                <w:t>Consolidated statements of operations</w:t>
              </w:r>
            </w:hyperlink>
          </w:p>
        </w:tc>
        <w:tc>
          <w:tcPr>
            <w:tcW w:w="1145" w:type="dxa"/>
            <w:tcBorders/>
            <w:vAlign w:val="center"/>
          </w:tcPr>
          <w:p>
            <w:pPr>
              <w:pStyle w:val="TableContents"/>
              <w:bidi w:val="0"/>
              <w:spacing w:lineRule="auto" w:line="300" w:before="0" w:after="0"/>
              <w:jc w:val="right"/>
              <w:rPr/>
            </w:pPr>
            <w:r>
              <w:rPr/>
              <w:t>F-6</w:t>
            </w:r>
          </w:p>
        </w:tc>
      </w:tr>
      <w:tr>
        <w:trPr/>
        <w:tc>
          <w:tcPr>
            <w:tcW w:w="5720" w:type="dxa"/>
            <w:tcBorders/>
            <w:vAlign w:val="center"/>
          </w:tcPr>
          <w:p>
            <w:pPr>
              <w:pStyle w:val="TableContents"/>
              <w:bidi w:val="0"/>
              <w:spacing w:lineRule="auto" w:line="300" w:before="0" w:after="0"/>
              <w:jc w:val="left"/>
              <w:rPr/>
            </w:pPr>
            <w:hyperlink w:anchor="Consolidatedstatementsofc_integixAnchor">
              <w:r>
                <w:rPr>
                  <w:rStyle w:val="InternetLink"/>
                  <w:b/>
                  <w:u w:val="single"/>
                </w:rPr>
                <w:t>Consolidated statements of comprehensive income (loss</w:t>
              </w:r>
            </w:hyperlink>
            <w:hyperlink w:anchor="Consolidatedstatementsofc_integixAnchor">
              <w:r>
                <w:rPr>
                  <w:rStyle w:val="InternetLink"/>
                </w:rPr>
                <w:t>)</w:t>
              </w:r>
            </w:hyperlink>
          </w:p>
        </w:tc>
        <w:tc>
          <w:tcPr>
            <w:tcW w:w="1145" w:type="dxa"/>
            <w:tcBorders/>
            <w:vAlign w:val="center"/>
          </w:tcPr>
          <w:p>
            <w:pPr>
              <w:pStyle w:val="TableContents"/>
              <w:bidi w:val="0"/>
              <w:spacing w:lineRule="auto" w:line="300" w:before="0" w:after="0"/>
              <w:jc w:val="right"/>
              <w:rPr/>
            </w:pPr>
            <w:r>
              <w:rPr/>
              <w:t>F-7</w:t>
            </w:r>
          </w:p>
        </w:tc>
      </w:tr>
      <w:tr>
        <w:trPr/>
        <w:tc>
          <w:tcPr>
            <w:tcW w:w="5720" w:type="dxa"/>
            <w:tcBorders/>
            <w:vAlign w:val="center"/>
          </w:tcPr>
          <w:p>
            <w:pPr>
              <w:pStyle w:val="TableContents"/>
              <w:bidi w:val="0"/>
              <w:spacing w:lineRule="auto" w:line="300" w:before="0" w:after="0"/>
              <w:jc w:val="left"/>
              <w:rPr/>
            </w:pPr>
            <w:hyperlink w:anchor="Consolidatedstatementsofs_integixAnchor">
              <w:r>
                <w:rPr>
                  <w:rStyle w:val="InternetLink"/>
                  <w:b/>
                  <w:u w:val="single"/>
                </w:rPr>
                <w:t>Consolidated statements of shareholders’ equity</w:t>
              </w:r>
            </w:hyperlink>
          </w:p>
        </w:tc>
        <w:tc>
          <w:tcPr>
            <w:tcW w:w="1145" w:type="dxa"/>
            <w:tcBorders/>
            <w:vAlign w:val="center"/>
          </w:tcPr>
          <w:p>
            <w:pPr>
              <w:pStyle w:val="TableContents"/>
              <w:bidi w:val="0"/>
              <w:spacing w:lineRule="auto" w:line="300" w:before="0" w:after="0"/>
              <w:jc w:val="right"/>
              <w:rPr/>
            </w:pPr>
            <w:r>
              <w:rPr/>
              <w:t>F-8</w:t>
            </w:r>
          </w:p>
        </w:tc>
      </w:tr>
      <w:tr>
        <w:trPr/>
        <w:tc>
          <w:tcPr>
            <w:tcW w:w="5720" w:type="dxa"/>
            <w:tcBorders/>
            <w:vAlign w:val="center"/>
          </w:tcPr>
          <w:p>
            <w:pPr>
              <w:pStyle w:val="TableContents"/>
              <w:bidi w:val="0"/>
              <w:spacing w:lineRule="auto" w:line="300" w:before="0" w:after="0"/>
              <w:jc w:val="left"/>
              <w:rPr/>
            </w:pPr>
            <w:hyperlink w:anchor="cashflows_integixAnchor">
              <w:r>
                <w:rPr>
                  <w:rStyle w:val="InternetLink"/>
                  <w:b/>
                  <w:u w:val="single"/>
                </w:rPr>
                <w:t>Consolidated statements of cash flows</w:t>
              </w:r>
            </w:hyperlink>
          </w:p>
        </w:tc>
        <w:tc>
          <w:tcPr>
            <w:tcW w:w="1145" w:type="dxa"/>
            <w:tcBorders/>
            <w:vAlign w:val="center"/>
          </w:tcPr>
          <w:p>
            <w:pPr>
              <w:pStyle w:val="TableContents"/>
              <w:bidi w:val="0"/>
              <w:spacing w:lineRule="auto" w:line="300" w:before="0" w:after="0"/>
              <w:jc w:val="right"/>
              <w:rPr/>
            </w:pPr>
            <w:r>
              <w:rPr/>
              <w:t>F-9</w:t>
            </w:r>
          </w:p>
        </w:tc>
      </w:tr>
      <w:tr>
        <w:trPr/>
        <w:tc>
          <w:tcPr>
            <w:tcW w:w="5720" w:type="dxa"/>
            <w:tcBorders/>
            <w:vAlign w:val="center"/>
          </w:tcPr>
          <w:p>
            <w:pPr>
              <w:pStyle w:val="TableContents"/>
              <w:bidi w:val="0"/>
              <w:spacing w:lineRule="auto" w:line="300" w:before="0" w:after="0"/>
              <w:jc w:val="left"/>
              <w:rPr/>
            </w:pPr>
            <w:hyperlink w:anchor="Notesto_integixAnchor">
              <w:r>
                <w:rPr>
                  <w:rStyle w:val="InternetLink"/>
                  <w:b/>
                  <w:u w:val="single"/>
                </w:rPr>
                <w:t>Notes to consolidated financial statements</w:t>
              </w:r>
            </w:hyperlink>
          </w:p>
        </w:tc>
        <w:tc>
          <w:tcPr>
            <w:tcW w:w="1145" w:type="dxa"/>
            <w:tcBorders/>
            <w:vAlign w:val="center"/>
          </w:tcPr>
          <w:p>
            <w:pPr>
              <w:pStyle w:val="TableContents"/>
              <w:bidi w:val="0"/>
              <w:spacing w:lineRule="auto" w:line="300" w:before="0" w:after="0"/>
              <w:jc w:val="right"/>
              <w:rPr/>
            </w:pPr>
            <w:r>
              <w:rPr/>
              <w:t>F-10 - F-39</w:t>
            </w:r>
          </w:p>
        </w:tc>
      </w:tr>
    </w:tbl>
    <w:p>
      <w:pPr>
        <w:pStyle w:val="TextBody"/>
        <w:bidi w:val="0"/>
        <w:spacing w:lineRule="auto" w:line="30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635" w:name="REPORTOFINDEPENDENTREGIST_integixAnchor"/>
      <w:bookmarkEnd w:id="635"/>
      <w:r>
        <w:rPr>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To the shareholders and the board of directors of</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FIVERR INTERNATIONAL LTD.</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Opinion on the financial statements</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We have audited the accompanying consolidated balance sheets of Fiverr International Ltd. and subsidiaries (the “Company”) as of December 31, 2023 and 2022, the related consolidated statements of operations, comprehensive income (loss),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Basis for opinion</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Critical Audit Matter</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F - 2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Revenue recognition</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82"/>
        <w:gridCol w:w="8923"/>
      </w:tblGrid>
      <w:tr>
        <w:trPr/>
        <w:tc>
          <w:tcPr>
            <w:tcW w:w="1282" w:type="dxa"/>
            <w:tcBorders/>
            <w:vAlign w:val="center"/>
          </w:tcPr>
          <w:p>
            <w:pPr>
              <w:pStyle w:val="TableContents"/>
              <w:bidi w:val="0"/>
              <w:spacing w:lineRule="auto" w:line="300" w:before="0" w:after="0"/>
              <w:jc w:val="left"/>
              <w:rPr/>
            </w:pPr>
            <w:r>
              <w:rPr/>
              <w:t>Description of the Matter</w:t>
            </w:r>
          </w:p>
        </w:tc>
        <w:tc>
          <w:tcPr>
            <w:tcW w:w="8923" w:type="dxa"/>
            <w:tcBorders/>
            <w:vAlign w:val="center"/>
          </w:tcPr>
          <w:p>
            <w:pPr>
              <w:pStyle w:val="TableContents"/>
              <w:bidi w:val="0"/>
              <w:spacing w:lineRule="auto" w:line="300" w:before="0" w:after="0"/>
              <w:jc w:val="both"/>
              <w:rPr/>
            </w:pPr>
            <w:r>
              <w:rPr/>
              <w:t>As described in Note 2u to the consolidated financial statements, the Company derives its revenue mainly from transaction fees and service fees. The Company earns transaction fees for enabling orders and providing other services and service fees to cover administrative fees. The Company’s revenue recognition process involves several applications responsible for the initiation, processing and recording of transactions, and the calculation of revenue is in accordance with the Company’s accounting policy. The processing and recognition of revenue are highly automated and involves capturing and processing significant volumes of data.</w:t>
            </w:r>
          </w:p>
          <w:p>
            <w:pPr>
              <w:pStyle w:val="TableContents"/>
              <w:bidi w:val="0"/>
              <w:spacing w:lineRule="auto" w:line="300" w:before="0" w:after="0"/>
              <w:jc w:val="both"/>
              <w:rPr/>
            </w:pPr>
            <w:r>
              <w:rPr/>
              <w:t> </w:t>
            </w:r>
          </w:p>
          <w:p>
            <w:pPr>
              <w:pStyle w:val="TableContents"/>
              <w:bidi w:val="0"/>
              <w:spacing w:lineRule="auto" w:line="300" w:before="0" w:after="0"/>
              <w:jc w:val="both"/>
              <w:rPr/>
            </w:pPr>
            <w:r>
              <w:rPr/>
              <w:t>Auditing the Company’s revenues from transaction fees and service fees in the Company's core platform was challenging and complex due to the high volume of individually-low- monetary-value transactions and the dependency on multiple applications, some of which are custom-made for the Company’s business, and data sources associated with the revenue recognition process. Given the complex automated systems utilized to capture, process, and ultimately record revenues, performing procedures to audit revenues from transaction fees and service fees in the Company's core platform required a high degree of auditor judgment and extensive audit effort.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8"/>
        <w:gridCol w:w="8927"/>
      </w:tblGrid>
      <w:tr>
        <w:trPr/>
        <w:tc>
          <w:tcPr>
            <w:tcW w:w="1278" w:type="dxa"/>
            <w:tcBorders/>
            <w:vAlign w:val="center"/>
          </w:tcPr>
          <w:p>
            <w:pPr>
              <w:pStyle w:val="TableContents"/>
              <w:bidi w:val="0"/>
              <w:spacing w:lineRule="auto" w:line="300" w:before="0" w:after="0"/>
              <w:jc w:val="left"/>
              <w:rPr/>
            </w:pPr>
            <w:r>
              <w:rPr/>
              <w:t>How We Addressed the Matter</w:t>
            </w:r>
          </w:p>
          <w:p>
            <w:pPr>
              <w:pStyle w:val="TableContents"/>
              <w:bidi w:val="0"/>
              <w:spacing w:lineRule="auto" w:line="300" w:before="0" w:after="0"/>
              <w:jc w:val="left"/>
              <w:rPr/>
            </w:pPr>
            <w:r>
              <w:rPr/>
              <w:t>in Our Audit</w:t>
            </w:r>
          </w:p>
        </w:tc>
        <w:tc>
          <w:tcPr>
            <w:tcW w:w="8927" w:type="dxa"/>
            <w:tcBorders/>
            <w:vAlign w:val="center"/>
          </w:tcPr>
          <w:p>
            <w:pPr>
              <w:pStyle w:val="TableContents"/>
              <w:bidi w:val="0"/>
              <w:spacing w:lineRule="auto" w:line="300" w:before="0" w:after="0"/>
              <w:jc w:val="both"/>
              <w:rPr/>
            </w:pPr>
            <w:r>
              <w:rPr/>
              <w:t>We obtained an understanding, evaluated the design, and tested the operating effectiveness of internal controls over the Company’s revenue recognition process in the Company's core platform. For example, with the assistance of IT professionals, we tested the controls over the initiation and recognition of transactions. We also tested the controls related to the key application interfaces between the Company’s self-developed systems, which included controls related to access to the relevant applications and data, changes to the relevant systems and interfaces, as well as controls over the configuration of the relevant applications.</w:t>
            </w:r>
          </w:p>
        </w:tc>
      </w:tr>
      <w:tr>
        <w:trPr/>
        <w:tc>
          <w:tcPr>
            <w:tcW w:w="1278"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lineRule="auto" w:line="300" w:before="0" w:after="0"/>
              <w:jc w:val="both"/>
              <w:rPr/>
            </w:pPr>
            <w:r>
              <w:rPr/>
              <w:t>Our substantive audit procedures included, among others, testing the completeness and accuracy of the underlying data within the Company’s accounting system, performing, with the assistance of our IT professionals, a recalculation of transaction fees and service fees in the Company's core platform recorded through the Company’s accounting system, and comparing to the Company’s recorded revenues. We performed, on a sample basis, transactions testing by agreeing the amounts recognized in the accounting system to third-party documentation. We also evaluated the Company’s disclosures included in Note 2u to the consolidated financial statements.</w:t>
            </w:r>
          </w:p>
        </w:tc>
      </w:tr>
    </w:tbl>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/s/ KOST FORER GABBAY &amp; KASIERER</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A Member of EY Global</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We have served as the Company’s auditor since 2011.</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Tel-Aviv, Israel</w:t>
      </w:r>
    </w:p>
    <w:p>
      <w:pPr>
        <w:pStyle w:val="TextBody"/>
        <w:bidi w:val="0"/>
        <w:spacing w:lineRule="auto" w:line="300" w:before="0" w:after="0"/>
        <w:jc w:val="left"/>
        <w:rPr>
          <w:sz w:val="20"/>
        </w:rPr>
      </w:pPr>
      <w:r>
        <w:rPr>
          <w:sz w:val="20"/>
        </w:rPr>
        <w:t>February 22, 2024</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F - 3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To the Shareholders and the Board of Directors of</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FIVERR INTERNATIONAL LTD</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Opinion on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We have audited Fiverr International Ltd.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Fiverr International Ltd. and subsidiaries (the Company) maintained, in all material respects, effective internal control over financial reporting as of December 31, 2023, based on the COSO criteria.</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shareholders’ equity and cash flows for each of the three years in the period ended December 31, 2023, and the related notes of the Company, and our report dated February 22, 2024 expressed an unqualified opinion thereon.</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Basis for Opinion</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Definition and Limitations of Internal Control Over Financial Reporting</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0" w:after="0"/>
        <w:jc w:val="left"/>
        <w:rPr/>
      </w:pPr>
      <w:r>
        <w:rPr/>
        <w:t> </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lineRule="auto" w:line="300" w:before="0" w:after="0"/>
              <w:jc w:val="left"/>
              <w:rPr/>
            </w:pPr>
            <w:r>
              <w:rPr/>
              <w:t>/s/ KOST FORER GABBAY &amp; KASIERER</w:t>
            </w:r>
          </w:p>
          <w:p>
            <w:pPr>
              <w:pStyle w:val="TableContents"/>
              <w:bidi w:val="0"/>
              <w:spacing w:lineRule="auto" w:line="300" w:before="0" w:after="0"/>
              <w:jc w:val="left"/>
              <w:rPr/>
            </w:pPr>
            <w:r>
              <w:rPr/>
              <w:t>A Member of EY Global</w:t>
            </w:r>
          </w:p>
        </w:tc>
      </w:tr>
      <w:tr>
        <w:trPr/>
        <w:tc>
          <w:tcPr>
            <w:tcW w:w="4430" w:type="dxa"/>
            <w:tcBorders/>
            <w:vAlign w:val="center"/>
          </w:tcPr>
          <w:p>
            <w:pPr>
              <w:pStyle w:val="TableContents"/>
              <w:bidi w:val="0"/>
              <w:spacing w:lineRule="auto" w:line="300" w:before="0" w:after="0"/>
              <w:jc w:val="left"/>
              <w:rPr/>
            </w:pPr>
            <w:r>
              <w:rPr/>
              <w:t>Tel-Aviv, Israel</w:t>
            </w:r>
          </w:p>
          <w:p>
            <w:pPr>
              <w:pStyle w:val="TableContents"/>
              <w:bidi w:val="0"/>
              <w:spacing w:lineRule="auto" w:line="300" w:before="0" w:after="0"/>
              <w:jc w:val="left"/>
              <w:rPr/>
            </w:pPr>
            <w:r>
              <w:rPr/>
              <w:t>February 22, 2024</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F - 4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bookmarkStart w:id="636" w:name="Consolidatedbalancesheets_integixAnchor"/>
      <w:bookmarkEnd w:id="636"/>
      <w:r>
        <w:rPr>
          <w:rFonts w:ascii="Times New Roman;Times;serif" w:hAnsi="Times New Roman;Times;serif"/>
          <w:b/>
          <w:sz w:val="20"/>
        </w:rPr>
        <w:t>Consolidated balance sheets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75"/>
        <w:gridCol w:w="60"/>
        <w:gridCol w:w="125"/>
        <w:gridCol w:w="845"/>
        <w:gridCol w:w="80"/>
        <w:gridCol w:w="60"/>
        <w:gridCol w:w="125"/>
        <w:gridCol w:w="755"/>
        <w:gridCol w:w="80"/>
      </w:tblGrid>
      <w:tr>
        <w:trPr/>
        <w:tc>
          <w:tcPr>
            <w:tcW w:w="80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80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86,752</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1,137</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241,293</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User funds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143,020</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Bank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134,000</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Restricted deposit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19,019</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594,476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625,221</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189,839</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5,660</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9,077</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14,770</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77,270</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ind w:left="18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1,965</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923,802</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Trade payables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8,630</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User accounts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142,203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133,032</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11,353</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Other account payables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41,328</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2,755</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197,098</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Convertible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455,305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452,764</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6,649</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1,559</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460,972</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667,830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658,070</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Commitments and contingencies (see note 11)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Shares authorized: 127,400,000 and 75,000,000 ordinary shares with no par value as of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ind w:left="200" w:right="0" w:hanging="0"/>
              <w:jc w:val="left"/>
              <w:rPr>
                <w:rFonts w:ascii="Times New Roman;Times;serif" w:hAnsi="Times New Roman;Times;serif"/>
                <w:sz w:val="20"/>
              </w:rPr>
            </w:pPr>
            <w:r>
              <w:rPr>
                <w:rFonts w:ascii="Times New Roman;Times;serif" w:hAnsi="Times New Roman;Times;serif"/>
                <w:sz w:val="20"/>
              </w:rPr>
              <w:t>Shares issued and outstanding: 38,653,958 and 37,537,563 ordinary shares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640,846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565,834</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(284,358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(288,039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(12,063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355,774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265,732</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1,023,604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923,802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jc w:val="left"/>
        <w:rPr>
          <w:rFonts w:ascii="Times New Roman;Times;serif" w:hAnsi="Times New Roman;Times;serif"/>
          <w:i/>
          <w:sz w:val="20"/>
        </w:rPr>
      </w:pPr>
      <w:r>
        <w:rPr>
          <w:rFonts w:ascii="Times New Roman;Times;serif" w:hAnsi="Times New Roman;Times;serif"/>
          <w:i/>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- 5</w:t>
      </w:r>
    </w:p>
    <w:p>
      <w:pPr>
        <w:pStyle w:val="HorizontalLine"/>
        <w:bidi w:val="0"/>
        <w:spacing w:before="200" w:after="0"/>
        <w:jc w:val="left"/>
        <w:rPr/>
      </w:pPr>
      <w:r>
        <w:rPr/>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bookmarkStart w:id="637" w:name="Consolidatedstatementsofo_integixAnchor"/>
      <w:bookmarkEnd w:id="637"/>
      <w:r>
        <w:rPr>
          <w:rFonts w:ascii="Times New Roman;Times;serif" w:hAnsi="Times New Roman;Times;serif"/>
          <w:b/>
          <w:sz w:val="20"/>
        </w:rPr>
        <w:t>Consolidated statements of operations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TextBody"/>
        <w:bidi w:val="0"/>
        <w:spacing w:lineRule="auto" w:line="300" w:before="0" w:after="0"/>
        <w:jc w:val="left"/>
        <w:rPr/>
      </w:pPr>
      <w:r>
        <w:rPr/>
        <w:t> </w:t>
      </w:r>
    </w:p>
    <w:tbl>
      <w:tblPr>
        <w:tblW w:w="9740" w:type="dxa"/>
        <w:jc w:val="left"/>
        <w:tblInd w:w="0" w:type="dxa"/>
        <w:tblLayout w:type="fixed"/>
        <w:tblCellMar>
          <w:top w:w="0" w:type="dxa"/>
          <w:left w:w="0" w:type="dxa"/>
          <w:bottom w:w="0" w:type="dxa"/>
          <w:right w:w="0" w:type="dxa"/>
        </w:tblCellMar>
      </w:tblPr>
      <w:tblGrid>
        <w:gridCol w:w="6080"/>
        <w:gridCol w:w="60"/>
        <w:gridCol w:w="125"/>
        <w:gridCol w:w="950"/>
        <w:gridCol w:w="80"/>
        <w:gridCol w:w="60"/>
        <w:gridCol w:w="125"/>
        <w:gridCol w:w="950"/>
        <w:gridCol w:w="80"/>
        <w:gridCol w:w="60"/>
        <w:gridCol w:w="125"/>
        <w:gridCol w:w="950"/>
        <w:gridCol w:w="95"/>
      </w:tblGrid>
      <w:tr>
        <w:trPr/>
        <w:tc>
          <w:tcPr>
            <w:tcW w:w="60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50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9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337,366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297,662</w:t>
            </w:r>
          </w:p>
        </w:tc>
        <w:tc>
          <w:tcPr>
            <w:tcW w:w="95"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61,846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65,948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51,723</w:t>
            </w:r>
          </w:p>
        </w:tc>
        <w:tc>
          <w:tcPr>
            <w:tcW w:w="9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299,529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271,418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245,939</w:t>
            </w:r>
          </w:p>
        </w:tc>
        <w:tc>
          <w:tcPr>
            <w:tcW w:w="95"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79,298</w:t>
            </w:r>
          </w:p>
        </w:tc>
        <w:tc>
          <w:tcPr>
            <w:tcW w:w="95"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Sales and marketing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161,208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174,599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159,365</w:t>
            </w:r>
          </w:p>
        </w:tc>
        <w:tc>
          <w:tcPr>
            <w:tcW w:w="9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52,616</w:t>
            </w:r>
          </w:p>
        </w:tc>
        <w:tc>
          <w:tcPr>
            <w:tcW w:w="95"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Impairment of intangible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27,629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314,638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345,952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291,279</w:t>
            </w:r>
          </w:p>
        </w:tc>
        <w:tc>
          <w:tcPr>
            <w:tcW w:w="95"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(15,109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(74,534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(45,340</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income (expenses),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(loss) before income taxes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(70,910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(64,853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income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(71,487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(65,012</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Basic net income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Basic weighted average ordinary shares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38,066,203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36,856,140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35,955,014</w:t>
            </w:r>
          </w:p>
        </w:tc>
        <w:tc>
          <w:tcPr>
            <w:tcW w:w="9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Diluted net income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Diluted weighted average ordinary shares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39,151,047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36,856,140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35,955,014</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jc w:val="left"/>
        <w:rPr>
          <w:rFonts w:ascii="Times New Roman;Times;serif" w:hAnsi="Times New Roman;Times;serif"/>
          <w:i/>
          <w:sz w:val="20"/>
        </w:rPr>
      </w:pPr>
      <w:r>
        <w:rPr>
          <w:rFonts w:ascii="Times New Roman;Times;serif" w:hAnsi="Times New Roman;Times;serif"/>
          <w:i/>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- 6</w:t>
      </w:r>
    </w:p>
    <w:p>
      <w:pPr>
        <w:pStyle w:val="HorizontalLine"/>
        <w:bidi w:val="0"/>
        <w:spacing w:before="200" w:after="0"/>
        <w:jc w:val="left"/>
        <w:rPr/>
      </w:pPr>
      <w:r>
        <w:rPr/>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bookmarkStart w:id="638" w:name="Consolidatedstatementsofc_integixAnchor"/>
      <w:bookmarkEnd w:id="638"/>
      <w:r>
        <w:rPr>
          <w:rFonts w:ascii="Times New Roman;Times;serif" w:hAnsi="Times New Roman;Times;serif"/>
          <w:b/>
          <w:sz w:val="20"/>
        </w:rPr>
        <w:t>Consolidated statements of comprehensive income (loss)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TextBody"/>
        <w:bidi w:val="0"/>
        <w:spacing w:lineRule="auto" w:line="300" w:before="0" w:after="0"/>
        <w:jc w:val="left"/>
        <w:rPr/>
      </w:pPr>
      <w:r>
        <w:rPr/>
        <w:t> </w:t>
      </w:r>
    </w:p>
    <w:tbl>
      <w:tblPr>
        <w:tblW w:w="8030" w:type="dxa"/>
        <w:jc w:val="left"/>
        <w:tblInd w:w="0" w:type="dxa"/>
        <w:tblLayout w:type="fixed"/>
        <w:tblCellMar>
          <w:top w:w="0" w:type="dxa"/>
          <w:left w:w="0" w:type="dxa"/>
          <w:bottom w:w="0" w:type="dxa"/>
          <w:right w:w="0" w:type="dxa"/>
        </w:tblCellMar>
      </w:tblPr>
      <w:tblGrid>
        <w:gridCol w:w="5330"/>
        <w:gridCol w:w="60"/>
        <w:gridCol w:w="125"/>
        <w:gridCol w:w="590"/>
        <w:gridCol w:w="80"/>
        <w:gridCol w:w="60"/>
        <w:gridCol w:w="125"/>
        <w:gridCol w:w="650"/>
        <w:gridCol w:w="80"/>
        <w:gridCol w:w="60"/>
        <w:gridCol w:w="125"/>
        <w:gridCol w:w="650"/>
        <w:gridCol w:w="95"/>
      </w:tblGrid>
      <w:tr>
        <w:trPr/>
        <w:tc>
          <w:tcPr>
            <w:tcW w:w="53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54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br/>
              <w:t>December 31,</w:t>
            </w:r>
          </w:p>
        </w:tc>
        <w:tc>
          <w:tcPr>
            <w:tcW w:w="9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(71,487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(65,012</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Marketable securities: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Unrealized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(8,865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(2,129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Derivatives: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Unrealized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(2,311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(7,060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1,662</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Amounts reclassified from accumulated other comprehensive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(1,160</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(10,968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Comprehensive income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15,030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(82,455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(66,639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jc w:val="left"/>
        <w:rPr>
          <w:rFonts w:ascii="Times New Roman;Times;serif" w:hAnsi="Times New Roman;Times;serif"/>
          <w:i/>
          <w:sz w:val="20"/>
        </w:rPr>
      </w:pPr>
      <w:r>
        <w:rPr>
          <w:rFonts w:ascii="Times New Roman;Times;serif" w:hAnsi="Times New Roman;Times;serif"/>
          <w:i/>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- 7</w:t>
      </w:r>
    </w:p>
    <w:p>
      <w:pPr>
        <w:pStyle w:val="HorizontalLine"/>
        <w:bidi w:val="0"/>
        <w:spacing w:before="200" w:after="0"/>
        <w:jc w:val="left"/>
        <w:rPr/>
      </w:pPr>
      <w:r>
        <w:rPr/>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bookmarkStart w:id="639" w:name="Consolidatedstatementsofs_integixAnchor"/>
      <w:bookmarkEnd w:id="639"/>
      <w:r>
        <w:rPr>
          <w:rFonts w:ascii="Times New Roman;Times;serif" w:hAnsi="Times New Roman;Times;serif"/>
          <w:b/>
          <w:sz w:val="20"/>
        </w:rPr>
        <w:t>Consolidated statements of shareholders’ equity</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90"/>
        <w:gridCol w:w="60"/>
        <w:gridCol w:w="60"/>
        <w:gridCol w:w="950"/>
        <w:gridCol w:w="60"/>
        <w:gridCol w:w="60"/>
        <w:gridCol w:w="182"/>
        <w:gridCol w:w="1026"/>
        <w:gridCol w:w="80"/>
        <w:gridCol w:w="60"/>
        <w:gridCol w:w="160"/>
        <w:gridCol w:w="970"/>
        <w:gridCol w:w="80"/>
        <w:gridCol w:w="60"/>
        <w:gridCol w:w="208"/>
        <w:gridCol w:w="1087"/>
        <w:gridCol w:w="80"/>
        <w:gridCol w:w="60"/>
        <w:gridCol w:w="179"/>
        <w:gridCol w:w="996"/>
        <w:gridCol w:w="97"/>
      </w:tblGrid>
      <w:tr>
        <w:trPr/>
        <w:tc>
          <w:tcPr>
            <w:tcW w:w="36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br/>
              <w:t>ordinary</w:t>
              <w:br/>
              <w:t>shares and</w:t>
              <w:br/>
              <w:t>protected</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 capital</w:t>
              <w:br/>
              <w:t>and additional</w:t>
              <w:br/>
              <w:t>paid-in 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br/>
              <w:t>other</w:t>
              <w:br/>
              <w:t>comprehensive</w:t>
              <w:b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br/>
              <w:t>shareholders’</w:t>
              <w:br/>
              <w:t>equity</w:t>
            </w:r>
          </w:p>
        </w:tc>
        <w:tc>
          <w:tcPr>
            <w:tcW w:w="97" w:type="dxa"/>
            <w:tcBorders/>
            <w:vAlign w:val="center"/>
          </w:tcPr>
          <w:p>
            <w:pPr>
              <w:pStyle w:val="TableContents"/>
              <w:bidi w:val="0"/>
              <w:spacing w:before="0" w:after="283"/>
              <w:jc w:val="left"/>
              <w:rPr/>
            </w:pPr>
            <w:r>
              <w:rPr/>
              <w:t> </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35,842,980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517,444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(172,573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345,403</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55,654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55,654</w:t>
            </w:r>
          </w:p>
        </w:tc>
        <w:tc>
          <w:tcPr>
            <w:tcW w:w="97" w:type="dxa"/>
            <w:tcBorders/>
            <w:vAlign w:val="center"/>
          </w:tcPr>
          <w:p>
            <w:pPr>
              <w:pStyle w:val="TableContents"/>
              <w:bidi w:val="0"/>
              <w:spacing w:before="0" w:after="283"/>
              <w:jc w:val="left"/>
              <w:rPr/>
            </w:pPr>
            <w:r>
              <w:rPr/>
              <w:t> </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 of share options, vested RSUs and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918,128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12,137</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Equity award assumed for acquisition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w:t>
            </w:r>
          </w:p>
        </w:tc>
        <w:tc>
          <w:tcPr>
            <w:tcW w:w="97" w:type="dxa"/>
            <w:tcBorders/>
            <w:vAlign w:val="center"/>
          </w:tcPr>
          <w:p>
            <w:pPr>
              <w:pStyle w:val="TableContents"/>
              <w:bidi w:val="0"/>
              <w:spacing w:before="0" w:after="283"/>
              <w:jc w:val="left"/>
              <w:rPr/>
            </w:pPr>
            <w:r>
              <w:rPr/>
              <w:t> </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(65,012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(65,012</w:t>
            </w:r>
          </w:p>
        </w:tc>
        <w:tc>
          <w:tcPr>
            <w:tcW w:w="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(1,627</w:t>
            </w:r>
          </w:p>
        </w:tc>
        <w:tc>
          <w:tcPr>
            <w:tcW w:w="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36,761,108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585,548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(237,585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346,868</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72,029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72,029</w:t>
            </w:r>
          </w:p>
        </w:tc>
        <w:tc>
          <w:tcPr>
            <w:tcW w:w="97" w:type="dxa"/>
            <w:tcBorders/>
            <w:vAlign w:val="center"/>
          </w:tcPr>
          <w:p>
            <w:pPr>
              <w:pStyle w:val="TableContents"/>
              <w:bidi w:val="0"/>
              <w:spacing w:before="0" w:after="283"/>
              <w:jc w:val="left"/>
              <w:rPr/>
            </w:pPr>
            <w:r>
              <w:rPr/>
              <w:t> </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 of share options, vested RSUs and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776,455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7,447</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Cumulative effect of adopting ASU 2020-06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(99,190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21,033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(78,157</w:t>
            </w:r>
          </w:p>
        </w:tc>
        <w:tc>
          <w:tcPr>
            <w:tcW w:w="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(71,487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(71,487</w:t>
            </w:r>
          </w:p>
        </w:tc>
        <w:tc>
          <w:tcPr>
            <w:tcW w:w="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(10,968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(10,968</w:t>
            </w:r>
          </w:p>
        </w:tc>
        <w:tc>
          <w:tcPr>
            <w:tcW w:w="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37,537,563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(288,039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(12,063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265,732</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68,698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68,698</w:t>
            </w:r>
          </w:p>
        </w:tc>
        <w:tc>
          <w:tcPr>
            <w:tcW w:w="97" w:type="dxa"/>
            <w:tcBorders/>
            <w:vAlign w:val="center"/>
          </w:tcPr>
          <w:p>
            <w:pPr>
              <w:pStyle w:val="TableContents"/>
              <w:bidi w:val="0"/>
              <w:spacing w:before="0" w:after="283"/>
              <w:jc w:val="left"/>
              <w:rPr/>
            </w:pPr>
            <w:r>
              <w:rPr/>
              <w:t> </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 of share options, vested RSUs and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1,116,395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6,314</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3,681</w:t>
            </w:r>
          </w:p>
        </w:tc>
        <w:tc>
          <w:tcPr>
            <w:tcW w:w="97" w:type="dxa"/>
            <w:tcBorders/>
            <w:vAlign w:val="center"/>
          </w:tcPr>
          <w:p>
            <w:pPr>
              <w:pStyle w:val="TableContents"/>
              <w:bidi w:val="0"/>
              <w:spacing w:before="0" w:after="283"/>
              <w:jc w:val="left"/>
              <w:rPr/>
            </w:pPr>
            <w:r>
              <w:rPr/>
              <w:t> </w:t>
            </w:r>
          </w:p>
        </w:tc>
      </w:tr>
      <w:tr>
        <w:trPr/>
        <w:tc>
          <w:tcPr>
            <w:tcW w:w="3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11,349</w:t>
            </w:r>
          </w:p>
        </w:tc>
        <w:tc>
          <w:tcPr>
            <w:tcW w:w="97" w:type="dxa"/>
            <w:tcBorders/>
            <w:shd w:fill="CCEEFF" w:val="clear"/>
            <w:vAlign w:val="center"/>
          </w:tcPr>
          <w:p>
            <w:pPr>
              <w:pStyle w:val="TableContents"/>
              <w:bidi w:val="0"/>
              <w:spacing w:before="0" w:after="283"/>
              <w:jc w:val="left"/>
              <w:rPr/>
            </w:pPr>
            <w:r>
              <w:rPr/>
              <w:t> </w:t>
            </w:r>
          </w:p>
        </w:tc>
      </w:tr>
      <w:tr>
        <w:trPr/>
        <w:tc>
          <w:tcPr>
            <w:tcW w:w="3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38,653,958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640,846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(284,358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355,774</w:t>
            </w:r>
          </w:p>
        </w:tc>
        <w:tc>
          <w:tcPr>
            <w:tcW w:w="97"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jc w:val="left"/>
        <w:rPr>
          <w:rFonts w:ascii="Times New Roman;Times;serif" w:hAnsi="Times New Roman;Times;serif"/>
          <w:i/>
          <w:sz w:val="20"/>
        </w:rPr>
      </w:pPr>
      <w:r>
        <w:rPr>
          <w:rFonts w:ascii="Times New Roman;Times;serif" w:hAnsi="Times New Roman;Times;serif"/>
          <w:i/>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- 8</w:t>
      </w:r>
    </w:p>
    <w:p>
      <w:pPr>
        <w:pStyle w:val="HorizontalLine"/>
        <w:bidi w:val="0"/>
        <w:spacing w:before="200" w:after="0"/>
        <w:jc w:val="left"/>
        <w:rPr/>
      </w:pPr>
      <w:r>
        <w:rPr/>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br/>
        <w:t>Consolidated statements of cash flows</w:t>
      </w:r>
      <w:bookmarkStart w:id="640" w:name="cashflows_integixAnchor"/>
      <w:bookmarkEnd w:id="640"/>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30"/>
        <w:gridCol w:w="60"/>
        <w:gridCol w:w="125"/>
        <w:gridCol w:w="755"/>
        <w:gridCol w:w="80"/>
        <w:gridCol w:w="60"/>
        <w:gridCol w:w="125"/>
        <w:gridCol w:w="755"/>
        <w:gridCol w:w="80"/>
        <w:gridCol w:w="60"/>
        <w:gridCol w:w="125"/>
        <w:gridCol w:w="755"/>
        <w:gridCol w:w="95"/>
      </w:tblGrid>
      <w:tr>
        <w:trPr/>
        <w:tc>
          <w:tcPr>
            <w:tcW w:w="71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920" w:type="dxa"/>
            <w:gridSpan w:val="1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r>
          </w:p>
        </w:tc>
        <w:tc>
          <w:tcPr>
            <w:tcW w:w="95"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Net Income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(71,487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(65,012</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b/>
                <w:sz w:val="20"/>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Depreciation and amortization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6,876</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Amortization of premium and accretion of discount on marketable securities,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7,903</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Amortization of discount and issuance costs of convertible notes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20,029</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55,407</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Exchange rate fluctuations and other items,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229</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Impairment of lease ROU asset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User funds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(8,582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(15,307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(29,729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Operating lease ROU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(1,485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253</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Other receivables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(4,847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(6,240</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(3,195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4,667</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Deferred revenue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4,123</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User accounts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26,589</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ind w:left="180" w:right="0" w:hanging="0"/>
              <w:jc w:val="left"/>
              <w:rPr/>
            </w:pPr>
            <w:r>
              <w:rPr/>
              <w:t> </w:t>
            </w:r>
            <w:r>
              <w:rPr>
                <w:rFonts w:ascii="Times New Roman;Times;serif" w:hAnsi="Times New Roman;Times;serif"/>
                <w:sz w:val="20"/>
              </w:rPr>
              <w:t>Revaluation of contingent consideration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(12,249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11,771</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Payment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pPr>
            <w:r>
              <w:rPr/>
              <w:t>     </w:t>
            </w:r>
            <w:r>
              <w:rPr>
                <w:rFonts w:ascii="Times New Roman;Times;serif" w:hAnsi="Times New Roman;Times;serif"/>
                <w:sz w:val="20"/>
              </w:rPr>
              <w:t>Account payables, accrued expenses, and other non- current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9,291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3,994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1,678</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38,037</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Investing activities: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Investment in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(309,155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(141,701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(282,450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Proceeds from maturities of marketable securities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273,186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130,701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193,757</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Acquisition of business,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(97,084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Bank and restricted 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46,858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(41,115</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Acquisition of intangible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Purchase of property and equipment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(1,684</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sz w:val="20"/>
              </w:rPr>
            </w:pPr>
            <w:r>
              <w:rPr>
                <w:rFonts w:ascii="Times New Roman;Times;serif" w:hAnsi="Times New Roman;Times;serif"/>
                <w:sz w:val="20"/>
              </w:rPr>
              <w:t>Capitalization of internal-use software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Other receivables and non-current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(14,624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(229,470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Financing activities: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Proceeds from issuance of convertible notes,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Proceeds from exercise of share options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8,294</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Payment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Tax withholding in connection with employees’ exercises of share options and vested RSUs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(2,028</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(8,987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Repayment of long-term loan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(2,269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(2,397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exchange rate fluctuations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(decrease) in cash, cash equivalents and restricted 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95,785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13,819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(193,960</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at the beginning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268,030</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at the end of the year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183,674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87,889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74,070</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Supplemental non-cash disclosure: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Purchase of property and equipment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294</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Share-based compensation capitalized in internal-use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247</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Contingent consideration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12,258</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Lease liabilities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229</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Supplemental cash flow disclosure: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Cash paid for taxes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w:t>
            </w:r>
          </w:p>
        </w:tc>
        <w:tc>
          <w:tcPr>
            <w:tcW w:w="9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7625" w:type="dxa"/>
        <w:jc w:val="left"/>
        <w:tblInd w:w="0" w:type="dxa"/>
        <w:tblLayout w:type="fixed"/>
        <w:tblCellMar>
          <w:top w:w="0" w:type="dxa"/>
          <w:left w:w="0" w:type="dxa"/>
          <w:bottom w:w="0" w:type="dxa"/>
          <w:right w:w="0" w:type="dxa"/>
        </w:tblCellMar>
      </w:tblPr>
      <w:tblGrid>
        <w:gridCol w:w="5000"/>
        <w:gridCol w:w="60"/>
        <w:gridCol w:w="125"/>
        <w:gridCol w:w="695"/>
        <w:gridCol w:w="60"/>
        <w:gridCol w:w="60"/>
        <w:gridCol w:w="125"/>
        <w:gridCol w:w="590"/>
        <w:gridCol w:w="60"/>
        <w:gridCol w:w="60"/>
        <w:gridCol w:w="125"/>
        <w:gridCol w:w="590"/>
        <w:gridCol w:w="75"/>
      </w:tblGrid>
      <w:tr>
        <w:trPr/>
        <w:tc>
          <w:tcPr>
            <w:tcW w:w="500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Reconciliation of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Cash and cash equivalents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183,674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86,752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71,151</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2,919</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Total cash, cash equivalents and restricted 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183,674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87,889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74,070</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jc w:val="left"/>
        <w:rPr>
          <w:rFonts w:ascii="Times New Roman;Times;serif" w:hAnsi="Times New Roman;Times;serif"/>
          <w:i/>
          <w:sz w:val="20"/>
        </w:rPr>
      </w:pPr>
      <w:r>
        <w:rPr>
          <w:rFonts w:ascii="Times New Roman;Times;serif" w:hAnsi="Times New Roman;Times;serif"/>
          <w:i/>
          <w:sz w:val="20"/>
        </w:rPr>
        <w:t>The accompanying notes are an integral part of the consolidated financial statements</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- 9</w:t>
      </w:r>
    </w:p>
    <w:p>
      <w:pPr>
        <w:pStyle w:val="HorizontalLine"/>
        <w:bidi w:val="0"/>
        <w:spacing w:before="200" w:after="0"/>
        <w:jc w:val="left"/>
        <w:rPr/>
      </w:pPr>
      <w:r>
        <w:rPr/>
      </w:r>
    </w:p>
    <w:p>
      <w:pPr>
        <w:pStyle w:val="TextBody"/>
        <w:bidi w:val="0"/>
        <w:spacing w:before="0" w:after="0"/>
        <w:jc w:val="left"/>
        <w:rPr/>
      </w:pPr>
      <w:r>
        <w:rPr/>
        <w:t> </w:t>
      </w:r>
    </w:p>
    <w:p>
      <w:pPr>
        <w:pStyle w:val="TextBody"/>
        <w:bidi w:val="0"/>
        <w:spacing w:lineRule="auto" w:line="300" w:before="0" w:after="0"/>
        <w:jc w:val="left"/>
        <w:rPr/>
      </w:pPr>
      <w:r>
        <w:rPr>
          <w:rStyle w:val="StrongEmphasis"/>
          <w:rFonts w:ascii="Times New Roman;Times;serif" w:hAnsi="Times New Roman;Times;serif"/>
          <w:sz w:val="20"/>
        </w:rPr>
        <w:t>Fiverr International Ltd. and subsidiaries</w:t>
      </w:r>
    </w:p>
    <w:p>
      <w:pPr>
        <w:pStyle w:val="TextBody"/>
        <w:bidi w:val="0"/>
        <w:spacing w:lineRule="auto" w:line="300" w:before="0" w:after="0"/>
        <w:jc w:val="left"/>
        <w:rPr/>
      </w:pPr>
      <w:bookmarkStart w:id="641" w:name="Notesto_integixAnchor"/>
      <w:bookmarkEnd w:id="641"/>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 1: - General</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Fiverr International Ltd. was incorporated on April 29, 2010, under the laws of Israel, and commenced operations on the same date.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Fiverr International Ltd. and its subsidiaries (the “Company”) operates a worldwide online marketplace for sellers to sell their services and buyers to buy them. The Company’s platform includes various categories across ten verticals, including Graphics &amp; Design, Digital Marketing, Writing &amp; Translation, Video &amp; Animation, Music &amp; Audio, Programming &amp; Tech, Business, Data, Lifestyle and photography.</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platform also includes a variety of value-added products including subscription-based content marketing platform, back-office platform, learning and development offerings, creative talent platform and freelancer management platform.</w:t>
      </w:r>
    </w:p>
    <w:p>
      <w:pPr>
        <w:pStyle w:val="TextBody"/>
        <w:bidi w:val="0"/>
        <w:spacing w:lineRule="auto" w:line="300" w:before="0" w:after="0"/>
        <w:ind w:left="720" w:right="0" w:hanging="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Commencing June 13, 2019, the ordinary shares of the Company are traded on the New York Stock Exchange.</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lineRule="auto" w:line="300" w:before="0" w:after="0"/>
        <w:jc w:val="both"/>
        <w:rPr/>
      </w:pPr>
      <w:r>
        <w:rPr/>
        <w:t> </w:t>
      </w:r>
    </w:p>
    <w:p>
      <w:pPr>
        <w:pStyle w:val="TextBody"/>
        <w:bidi w:val="0"/>
        <w:spacing w:lineRule="auto" w:line="300" w:before="0" w:after="0"/>
        <w:ind w:left="360" w:right="0" w:hanging="0"/>
        <w:jc w:val="both"/>
        <w:rPr>
          <w:rFonts w:ascii="Times New Roman;Times;serif" w:hAnsi="Times New Roman;Times;serif"/>
          <w:sz w:val="20"/>
        </w:rPr>
      </w:pPr>
      <w:r>
        <w:rPr>
          <w:rFonts w:ascii="Times New Roman;Times;serif" w:hAnsi="Times New Roman;Times;serif"/>
          <w:sz w:val="20"/>
        </w:rPr>
        <w:t>The consolidated financial statements have been prepared in accordance with generally accepted accounting principles in the U.S. (“U.S. GAAP”). The significant accounting policies followed in the preparation of the consolidated financial statements, are as follows:</w:t>
      </w:r>
    </w:p>
    <w:p>
      <w:pPr>
        <w:pStyle w:val="TextBody"/>
        <w:bidi w:val="0"/>
        <w:spacing w:lineRule="auto" w:line="300" w:before="0" w:after="0"/>
        <w:jc w:val="both"/>
        <w:rPr/>
      </w:pPr>
      <w:r>
        <w:rPr/>
        <w:t> </w:t>
      </w:r>
    </w:p>
    <w:tbl>
      <w:tblPr>
        <w:tblW w:w="1630" w:type="dxa"/>
        <w:jc w:val="left"/>
        <w:tblInd w:w="0" w:type="dxa"/>
        <w:tblLayout w:type="fixed"/>
        <w:tblCellMar>
          <w:top w:w="0" w:type="dxa"/>
          <w:left w:w="0" w:type="dxa"/>
          <w:bottom w:w="0" w:type="dxa"/>
          <w:right w:w="0" w:type="dxa"/>
        </w:tblCellMar>
      </w:tblPr>
      <w:tblGrid>
        <w:gridCol w:w="75"/>
        <w:gridCol w:w="155"/>
        <w:gridCol w:w="140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Use of estimates: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generally accepted accounting principles, U.S. GAAP, requires management to make estimates and assumptions that affect the amounts reported in the consolidated financial statements and accompanying notes.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accounting estimates that require management’s subjective judgments include but are not limited to revenue recognition, income taxes, purchase price allocation (PPA) and impairment of intangible assets. The Company evaluates its estimates and judgments on an ongoing basis and revises them when necessary. Actual results may differ from the original or revised estimates.</w:t>
      </w:r>
    </w:p>
    <w:p>
      <w:pPr>
        <w:pStyle w:val="TextBody"/>
        <w:bidi w:val="0"/>
        <w:spacing w:lineRule="auto" w:line="300" w:before="0" w:after="0"/>
        <w:jc w:val="both"/>
        <w:rPr/>
      </w:pPr>
      <w:r>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Principles of consolidation:</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and balances were eliminated upon consolidation.</w:t>
      </w:r>
    </w:p>
    <w:p>
      <w:pPr>
        <w:pStyle w:val="TextBody"/>
        <w:bidi w:val="0"/>
        <w:spacing w:lineRule="auto" w:line="300" w:before="0" w:after="0"/>
        <w:jc w:val="both"/>
        <w:rPr/>
      </w:pPr>
      <w:r>
        <w:rPr/>
        <w:t> </w:t>
      </w:r>
    </w:p>
    <w:tbl>
      <w:tblPr>
        <w:tblW w:w="1960" w:type="dxa"/>
        <w:jc w:val="left"/>
        <w:tblInd w:w="0" w:type="dxa"/>
        <w:tblLayout w:type="fixed"/>
        <w:tblCellMar>
          <w:top w:w="0" w:type="dxa"/>
          <w:left w:w="0" w:type="dxa"/>
          <w:bottom w:w="0" w:type="dxa"/>
          <w:right w:w="0" w:type="dxa"/>
        </w:tblCellMar>
      </w:tblPr>
      <w:tblGrid>
        <w:gridCol w:w="75"/>
        <w:gridCol w:w="155"/>
        <w:gridCol w:w="173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7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Functional currency:</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functional currency of the Company is the U.S. dollar, as it is the currency of the primary economic environment in which the Company is operating. Foreign currency transactions and balances have been re-measured to U.S. dollars in accordance with Accounting Standard Codification (“ASC”) Topic 830, “Foreign Currency Matters.” All transaction gains and losses from re- measurement of monetary balance sheet items denominated in foreign currencies are recorded under financial income (expenses), net.</w:t>
      </w:r>
    </w:p>
    <w:p>
      <w:pPr>
        <w:pStyle w:val="TextBody"/>
        <w:bidi w:val="0"/>
        <w:spacing w:lineRule="auto" w:line="300" w:before="0" w:after="0"/>
        <w:jc w:val="both"/>
        <w:rPr/>
      </w:pPr>
      <w:r>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Cash and cash equivalents: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considers all investments with an original maturity of three months or less at the time of purchase to be cash equivalents including amounts related to payment processing companies.</w:t>
      </w:r>
    </w:p>
    <w:p>
      <w:pPr>
        <w:pStyle w:val="TextBody"/>
        <w:bidi w:val="0"/>
        <w:spacing w:lineRule="auto" w:line="300"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75"/>
        <w:gridCol w:w="155"/>
        <w:gridCol w:w="132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3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Restricted cash:</w:t>
            </w:r>
          </w:p>
        </w:tc>
      </w:tr>
    </w:tbl>
    <w:p>
      <w:pPr>
        <w:pStyle w:val="TextBody"/>
        <w:bidi w:val="0"/>
        <w:spacing w:lineRule="auto" w:line="300" w:before="0" w:after="0"/>
        <w:ind w:left="0" w:right="0" w:firstLine="36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Restricted cash includes cash that is legally restricted as to withdrawal or usage with an original maturity of three months or less at the time of purchase. Restricted cash subject to legal or contractual restrictions on its use. These restrictions may arise from agreements such as obligations for leasehold improvements, rent payments, and other lease-related expenses or regulatory requirements.</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- 10</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25"/>
        <w:gridCol w:w="18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Marketable securities:</w:t>
            </w:r>
          </w:p>
        </w:tc>
      </w:tr>
    </w:tbl>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accounts for marketable securities in accordance with ASC Topic 320, “Investments – Debt and Equity Securities”. The Company’s investments in marketable securities consist of high-grade treasury, corporate and municipal bonds.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Investments in marketable securities are classified as available for sale at the time of purchase. Available for sale securities are carried at fair value based on quoted market prices, with unrealized gains and losses, reported in accumulated other comprehensive income (loss) in shareholders’ equity. Realized gains and losses including interest and amortization of discount arising from the acquisition of marketable securities were recorded under financial income (expenses), net.</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According to ASC 326 the Company estimated expected credit losses for available for-sale debt securities in an unrealized loss position by considering a security’s probability of default and the recovery rate. The Company assessed the security’s credit indicators based on credit ratings. If the assessment indicates that an expected credit loss exists, the Company would determine the portion of the unrealized loss attributable to credit deterioration and would record an allowance for the expected credit loss. Unrealized gains and any portion of a security’s unrealized loss attributable to non-credit losses were recorded in other comprehensive income (loss).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classifies its marketable securities as either short term or long term based on each instrument’s underlying contractual maturity date as well as the intended time of realization. Marketable securities with maturities of 12 months or less are classified as short-term and marketable securities with maturities greater than 12 months are classified as long-term.</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each reporting period the Company determines whether a decline in fair value below the amortized cost basis of an available for sale debt security is due to credit related factors or noncredit related factors. A credit related impairment would be recognized as an allowance on the balance sheet with a corresponding adjustment to earnings, however, if the Company would intend to sell an impaired available for sale debt security or more likely than not would be required to sell such a security before recovering its amortized cost basis, the entire impairment amount would be recognized in earnings with a corresponding adjustment to the security’s amortized cost basis.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has not recorded credit losses for the years ended December 31, 2023, 2022 and 2021.</w:t>
      </w:r>
    </w:p>
    <w:p>
      <w:pPr>
        <w:pStyle w:val="TextBody"/>
        <w:bidi w:val="0"/>
        <w:spacing w:lineRule="auto" w:line="300" w:before="0" w:after="0"/>
        <w:ind w:left="720" w:right="0" w:hanging="0"/>
        <w:jc w:val="both"/>
        <w:rPr/>
      </w:pPr>
      <w:r>
        <w:rPr/>
        <w:t> </w:t>
      </w:r>
    </w:p>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Bank deposits: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Deposits with maturities of more than three months but less than one year are classified as short term. Such deposits are presented at their cost.</w:t>
      </w:r>
    </w:p>
    <w:p>
      <w:pPr>
        <w:pStyle w:val="TextBody"/>
        <w:bidi w:val="0"/>
        <w:spacing w:lineRule="auto" w:line="300" w:before="0" w:after="0"/>
        <w:jc w:val="both"/>
        <w:rPr/>
      </w:pPr>
      <w:r>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15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Restricted deposit:</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Restricted deposit is restricted as to withdrawal or use with maturities of up to one year and are used as security for the rental of premises. Restricted deposits are presented at their cost.</w:t>
      </w:r>
    </w:p>
    <w:p>
      <w:pPr>
        <w:pStyle w:val="TextBody"/>
        <w:bidi w:val="0"/>
        <w:spacing w:lineRule="auto" w:line="300" w:before="0" w:after="0"/>
        <w:ind w:left="720" w:right="0" w:hanging="0"/>
        <w:jc w:val="both"/>
        <w:rPr/>
      </w:pPr>
      <w:r>
        <w:rPr/>
        <w:t> </w:t>
      </w:r>
    </w:p>
    <w:tbl>
      <w:tblPr>
        <w:tblW w:w="1720" w:type="dxa"/>
        <w:jc w:val="left"/>
        <w:tblInd w:w="0" w:type="dxa"/>
        <w:tblLayout w:type="fixed"/>
        <w:tblCellMar>
          <w:top w:w="0" w:type="dxa"/>
          <w:left w:w="0" w:type="dxa"/>
          <w:bottom w:w="0" w:type="dxa"/>
          <w:right w:w="0" w:type="dxa"/>
        </w:tblCellMar>
      </w:tblPr>
      <w:tblGrid>
        <w:gridCol w:w="75"/>
        <w:gridCol w:w="125"/>
        <w:gridCol w:w="15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5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Long-lived assets: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long-lived assets to be held and used are comprised of property and equipment, identifiable intangible assets and Right-Of-Use (“ROU”) asset (Note 2t).</w:t>
      </w:r>
    </w:p>
    <w:p>
      <w:pPr>
        <w:pStyle w:val="TextBody"/>
        <w:bidi w:val="0"/>
        <w:spacing w:lineRule="auto" w:line="300" w:before="0" w:after="0"/>
        <w:ind w:left="72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Property and equipment are stated at cost, net of accumulated depreciation. Depreciation is calculated using the straight-line method over the estimated useful lives of the assets.</w:t>
      </w:r>
    </w:p>
    <w:p>
      <w:pPr>
        <w:pStyle w:val="TextBody"/>
        <w:bidi w:val="0"/>
        <w:spacing w:lineRule="auto" w:line="300" w:before="0" w:after="0"/>
        <w:ind w:left="720" w:right="0" w:hanging="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Computers and peripheral equipment is amortized at an annual rate of 33%, office furniture and equipment is amortized at annual rate ranges from 7%-15% and leasehold and improvements amortized over the shortest of the term of the lease or the useful life of the asset.</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- 11</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Intangible assets that are considered to have definite useful life are amortized using the straight-line basis over their estimated weighted average useful lives as follows:</w:t>
      </w:r>
    </w:p>
    <w:p>
      <w:pPr>
        <w:pStyle w:val="TextBody"/>
        <w:bidi w:val="0"/>
        <w:spacing w:lineRule="auto" w:line="300" w:before="0" w:after="0"/>
        <w:jc w:val="left"/>
        <w:rPr/>
      </w:pPr>
      <w:r>
        <w:rPr/>
        <w:t> </w:t>
      </w:r>
    </w:p>
    <w:tbl>
      <w:tblPr>
        <w:tblW w:w="3505" w:type="dxa"/>
        <w:jc w:val="left"/>
        <w:tblInd w:w="720" w:type="dxa"/>
        <w:tblLayout w:type="fixed"/>
        <w:tblCellMar>
          <w:top w:w="30" w:type="dxa"/>
          <w:left w:w="30" w:type="dxa"/>
          <w:bottom w:w="30" w:type="dxa"/>
          <w:right w:w="30" w:type="dxa"/>
        </w:tblCellMar>
      </w:tblPr>
      <w:tblGrid>
        <w:gridCol w:w="2750"/>
        <w:gridCol w:w="755"/>
      </w:tblGrid>
      <w:tr>
        <w:trPr/>
        <w:tc>
          <w:tcPr>
            <w:tcW w:w="27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Developed technology</w:t>
            </w:r>
          </w:p>
        </w:tc>
        <w:tc>
          <w:tcPr>
            <w:tcW w:w="7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5 years</w:t>
            </w:r>
          </w:p>
        </w:tc>
      </w:tr>
      <w:tr>
        <w:trPr/>
        <w:tc>
          <w:tcPr>
            <w:tcW w:w="27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Capitalized internal-use software</w:t>
            </w:r>
          </w:p>
        </w:tc>
        <w:tc>
          <w:tcPr>
            <w:tcW w:w="7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 years</w:t>
            </w:r>
          </w:p>
        </w:tc>
      </w:tr>
      <w:tr>
        <w:trPr/>
        <w:tc>
          <w:tcPr>
            <w:tcW w:w="27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relationships</w:t>
            </w:r>
          </w:p>
        </w:tc>
        <w:tc>
          <w:tcPr>
            <w:tcW w:w="7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 years</w:t>
            </w:r>
          </w:p>
        </w:tc>
      </w:tr>
      <w:tr>
        <w:trPr/>
        <w:tc>
          <w:tcPr>
            <w:tcW w:w="27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Creative relationships</w:t>
            </w:r>
          </w:p>
        </w:tc>
        <w:tc>
          <w:tcPr>
            <w:tcW w:w="7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 years</w:t>
            </w:r>
          </w:p>
        </w:tc>
      </w:tr>
      <w:tr>
        <w:trPr/>
        <w:tc>
          <w:tcPr>
            <w:tcW w:w="27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name</w:t>
            </w:r>
          </w:p>
        </w:tc>
        <w:tc>
          <w:tcPr>
            <w:tcW w:w="7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5 years</w:t>
            </w:r>
          </w:p>
        </w:tc>
      </w:tr>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Courses</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years</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Workforce</w:t>
            </w:r>
          </w:p>
        </w:tc>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years</w:t>
            </w:r>
          </w:p>
        </w:tc>
      </w:tr>
    </w:tbl>
    <w:p>
      <w:pPr>
        <w:pStyle w:val="TextBody"/>
        <w:bidi w:val="0"/>
        <w:spacing w:lineRule="auto" w:line="300" w:before="0" w:after="0"/>
        <w:ind w:left="72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75"/>
        <w:gridCol w:w="125"/>
        <w:gridCol w:w="17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17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Internal-use software:</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Costs incurred to develop internal-use software are capitalized and amortized over the estimated useful life of the software, which is generally three years. In accordance with ASC Topic, 350-40, “Internal-Use Software”, the Company capitalizes costs related to upgrades and enhancements when it is probable the expenditures will result in additional functionality. Costs incurred in the preliminary stages of development are expensed as incurred. Capitalization begins when the preliminary project stage is completed, and it is probable that the software will be completed and used for its intended function. Capitalization ceases when the software is substantially complete and ready for its intended use. Maintenance costs are expensed as incurred.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periodically reviews internal-use software costs to determine whether the projects will be completed, placed in service, removed from service, or replaced by other internally developed or third-party software. If an asset is determined not to provide any future economic benefit after conducting an impairment test, the asset is retired, and any unamortized cost is expensed.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Capitalized internal-use software costs are recorded under intangible assets.</w:t>
      </w:r>
    </w:p>
    <w:p>
      <w:pPr>
        <w:pStyle w:val="TextBody"/>
        <w:bidi w:val="0"/>
        <w:spacing w:lineRule="auto" w:line="300"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26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Impairment of long-lived assets: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Long lived assets that are considered to have definite useful life are tested for impairment in accordance with ASC Topic 360, “Property, Plant and Equipment” whenever events or changes in circumstances indicate that the carrying amount of an asset may not be recoverable. The Company’s evaluation of recoverability is performed at the lowest level to which identifiable cash flows are largely independent of the cash flows of other assets and liabilities and represent an asset group. Recoverability of this asset group is measured by a comparison of the aggregate undiscounted projections of future cash flows the asset group is expected to generate to the carrying amounts of the asset group. If such evaluation indicates that the carrying amount of the asset group is not recoverable, an impairment is measured by the amount which the carrying amount of the asset group exceeds their fair value.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fourth quarter of 2023 the Company recorded an impairment of ROU asset in the amount of $211.</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second quarter of 2022 due to an adverse change in macro-economic conditions the Company recorded an impairment of intangible assets in the amount of $27,629 mainly in connection with the asset group related to Stoke acquisition, asset group related to CreativeLive acquisition and internal use software capitalization. In determining the estimated fair value of the asset group, the Company utilized a discounted cash flow model. The key assumptions within the model related to forecasting of future revenue, appropriate discount rate and appropriate terminal value based on the nature of the asset group.</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No impairment was recorded for the year ended December 31, 2021.</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- 12</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25"/>
        <w:gridCol w:w="19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1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Business combinations: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results of an acquired business in a business combination are included in the Company’s consolidated financial statements from the date of acquisition according to the guidance of ASC Topic 805, “Business Combinations.” The Company allocates the purchase price, which is the sum of the consideration provided and may consist of assets and liabilities incurred, including contingent consideration obligations and equity or a combination of them, to the identifiable assets and liabilities of the acquired business at their fair values as of the acquisition date. The excess of the purchase price over the amount allocated to the identifiable assets and liabilities, if any, is recorded as goodwill.</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estimated fair values and useful lives of identifiable intangible assets are based on many factors, including estimates and assumptions of future operating performance and cash flows of the acquired business, the nature of the business acquired and the specific characteristics of the identified intangible assets. The estimates and assumptions used to determine the fair values and useful lives of identified intangible assets could change due to numerous factors, including market conditions, technological developments, economic conditions, and competition.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Contingent consideration incurred in a business combination is included as part of the acquisition price and recorded at a probability weighted assessment of the fair value as of the acquisition date. The fair value of the contingent consideration, which was initially recorded as asset or liability, is re-measured at each reporting period, with any adjustments in fair value recognized in earnings under general and administrative expenses.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Acquisition related costs incurred by the Company are not included as a component of consideration transferred but are accounted for as an expense in the period in which the costs are incurred.</w:t>
      </w:r>
    </w:p>
    <w:p>
      <w:pPr>
        <w:pStyle w:val="TextBody"/>
        <w:bidi w:val="0"/>
        <w:spacing w:lineRule="auto" w:line="300"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75"/>
        <w:gridCol w:w="215"/>
        <w:gridCol w:w="8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Goodwill</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Goodwill represents the excess of the aggregate fair value of the consideration transferred in a business combination over the fair value of the assets acquired, net of liabilities assumed. Under ASC Topic 350, “Intangible—Goodwill and other,” goodwill is not amortized, but rather is subject to impairment test. ASC 350 allows an entity to first assess qualitative factors to determine whether it is necessary to perform a quantitative goodwill impairment test. If the qualitative assessment does not result in a more likely than not indication of impairment, no further impairment testing is required. If it does result in a more likely than not indication of impairment, a quantitative impairment test is performed. Alternatively, ASC 350 permits an entity to bypass the qualitative assessment for any reporting unit and proceed directly to performing the quantitative goodwill impairment test.</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operates in one reporting segment, and this segment comprises its only reporting unit.</w:t>
      </w:r>
    </w:p>
    <w:p>
      <w:pPr>
        <w:pStyle w:val="TextBody"/>
        <w:bidi w:val="0"/>
        <w:spacing w:lineRule="auto" w:line="300" w:before="0" w:after="0"/>
        <w:ind w:left="0" w:right="0" w:firstLine="720"/>
        <w:jc w:val="both"/>
        <w:rPr/>
      </w:pPr>
      <w:r>
        <w:rPr/>
        <w:t> </w:t>
      </w:r>
    </w:p>
    <w:p>
      <w:pPr>
        <w:pStyle w:val="TextBody"/>
        <w:bidi w:val="0"/>
        <w:spacing w:lineRule="auto" w:line="240" w:before="0" w:after="0"/>
        <w:ind w:left="720" w:right="0" w:hanging="0"/>
        <w:jc w:val="both"/>
        <w:rPr>
          <w:rFonts w:ascii="Times New Roman;Times;serif" w:hAnsi="Times New Roman;Times;serif"/>
          <w:sz w:val="20"/>
        </w:rPr>
      </w:pPr>
      <w:r>
        <w:rPr>
          <w:rFonts w:ascii="Times New Roman;Times;serif" w:hAnsi="Times New Roman;Times;serif"/>
          <w:sz w:val="20"/>
        </w:rPr>
        <w:t>The Company elected to perform an annual impairment test of goodwill as of October 1st of each year, or more frequently if impairment indicators are present.</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No goodwill impairment was recorded for the years ended December 31, 2023, 2022 and 2021.</w:t>
      </w:r>
    </w:p>
    <w:p>
      <w:pPr>
        <w:pStyle w:val="TextBody"/>
        <w:bidi w:val="0"/>
        <w:spacing w:lineRule="auto" w:line="300" w:before="0" w:after="0"/>
        <w:ind w:left="0" w:right="0" w:firstLine="360"/>
        <w:jc w:val="both"/>
        <w:rPr/>
      </w:pPr>
      <w:r>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2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Derivatives and hedging:</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Derivatives are recognized at fair value as either assets or liabilities in the consolidated balance sheets in accordance with ASC Topic 815, “Derivatives and Hedging.” The gain or loss of derivatives which are designated and qualify as hedging instruments in a cash flow hedge, is recorded under accumulated other comprehensive income (loss) and reclassified into earnings in the same period or periods during which the hedged transaction affects earnings. The gain or loss in connection with forecasted transactions not probable of occurring was recorded under financial expenses, net.</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Derivatives are classified within Level 2 of the fair value hierarchy as the valuation inputs are based on quoted prices and market observable data of similar instruments.</w:t>
      </w:r>
    </w:p>
    <w:p>
      <w:pPr>
        <w:pStyle w:val="TextBody"/>
        <w:bidi w:val="0"/>
        <w:spacing w:lineRule="auto" w:line="300" w:before="0" w:after="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Company entered into foreign currency cash flow hedges using forward, put and call option contracts to hedge certain forecasted payroll and other related payments denominated in NIS, to hedge against exchange rate fluctuations of the U.S. dollar. The Company recorded the cash flows associated with these derivatives under operating activities.</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- 13</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2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Fair value of financial instruments: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measures and discloses the fair value of financial assets and liabilities in accordance with ASC Topic 820, “Fair Value Measurement.” Fair value is based on the price that would be received to sell an asset or paid to transfer a liability in an orderly transaction between market participants at the measurement date.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Valuation techniques used to measure fair value must maximize the use of observable inputs and minimize the use of unobservable inputs.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accounting standard establishes a fair value hierarchy that prioritizes observable and unobservable inputs used to measure fair value into three broad levels, which are described below:</w:t>
      </w:r>
    </w:p>
    <w:p>
      <w:pPr>
        <w:pStyle w:val="TextBody"/>
        <w:bidi w:val="0"/>
        <w:spacing w:lineRule="auto" w:line="300" w:before="0" w:after="0"/>
        <w:ind w:left="720" w:right="0" w:hanging="0"/>
        <w:jc w:val="both"/>
        <w:rPr/>
      </w:pPr>
      <w:r>
        <w:rP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Level 1: Quoted prices (unadjusted) in active markets that are accessible at the measurement date for assets or liabilities. The fair value hierarchy gives the highest priority to Level 1 inputs.</w:t>
      </w:r>
    </w:p>
    <w:p>
      <w:pPr>
        <w:pStyle w:val="TextBody"/>
        <w:bidi w:val="0"/>
        <w:spacing w:lineRule="auto" w:line="300" w:before="0" w:after="0"/>
        <w:ind w:left="720" w:right="0" w:hanging="0"/>
        <w:jc w:val="both"/>
        <w:rPr/>
      </w:pPr>
      <w:r>
        <w:rP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Level 2: Observable inputs that are based on inputs not quoted on active markets but corroborated by market data.</w:t>
      </w:r>
    </w:p>
    <w:p>
      <w:pPr>
        <w:pStyle w:val="TextBody"/>
        <w:bidi w:val="0"/>
        <w:spacing w:lineRule="auto" w:line="300" w:before="0" w:after="0"/>
        <w:ind w:left="720" w:right="0" w:firstLine="720"/>
        <w:jc w:val="both"/>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Level 3: Unobservable inputs are used when little or no market data is available.</w:t>
      </w:r>
    </w:p>
    <w:p>
      <w:pPr>
        <w:pStyle w:val="TextBody"/>
        <w:bidi w:val="0"/>
        <w:spacing w:lineRule="auto" w:line="300"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75"/>
        <w:gridCol w:w="170"/>
        <w:gridCol w:w="2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24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Concentrations of credit risks: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principally of cash and cash equivalents, restricted cash, bank deposits, investment in marketable securities, restricted deposit and derivatives, which are placed in major banks in Israel, Germany and the U.S.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User funds are held by a payment service provider which, pursuant to the agreement, was engaged to hold the user funds on behalf of buyers and sellers in an account segregated from the payment service provider’s operating bank account.</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does not have off-balance sheet concentration of credit risks.</w:t>
      </w:r>
    </w:p>
    <w:p>
      <w:pPr>
        <w:pStyle w:val="TextBody"/>
        <w:bidi w:val="0"/>
        <w:spacing w:lineRule="auto" w:line="300" w:before="0" w:after="0"/>
        <w:ind w:left="0" w:right="0" w:firstLine="720"/>
        <w:jc w:val="both"/>
        <w:rPr/>
      </w:pPr>
      <w:r>
        <w:rPr/>
        <w:t> </w:t>
      </w:r>
    </w:p>
    <w:tbl>
      <w:tblPr>
        <w:tblW w:w="1795" w:type="dxa"/>
        <w:jc w:val="left"/>
        <w:tblInd w:w="0" w:type="dxa"/>
        <w:tblLayout w:type="fixed"/>
        <w:tblCellMar>
          <w:top w:w="0" w:type="dxa"/>
          <w:left w:w="0" w:type="dxa"/>
          <w:bottom w:w="0" w:type="dxa"/>
          <w:right w:w="0" w:type="dxa"/>
        </w:tblCellMar>
      </w:tblPr>
      <w:tblGrid>
        <w:gridCol w:w="75"/>
        <w:gridCol w:w="170"/>
        <w:gridCol w:w="1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1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Convertible notes: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Prior to January 1, 2022 the Company accounts for convertible notes in accordance with ASC Topic 815, “Derivatives and Hedging” and ASC Topic 470, “Debt”. The Company separately accounted for debt and equity components of convertible notes that may be settled in cash. The carrying amount of the debt component was based on the fair value of a similar hypothetical debt instrument excluding the conversion option.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equity component was based on the excess of the principal amount of the convertible notes over the fair value of the debt component after adjustment for an allocation of issuance costs. The equity component is recorded under additional paid in capital and is not remeasured as long as it continues to meet the criteria for equity classification.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difference between the principal amount of the convertible notes and the amount allocated to the debt component was considered to be debt discount, which is subsequently amortized through interest expenses over the expected life of the convertible notes using the effective interest method.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Issuance costs were allocated to the debt and equity components in proportion to the allocation of proceeds to those components.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Commencing January 1, 2022 after the adoption of ASU 2020-06 the Company accounted for the convertible notes as a single liability and did not present the equity component separately.</w:t>
      </w:r>
    </w:p>
    <w:p>
      <w:pPr>
        <w:pStyle w:val="TextBody"/>
        <w:bidi w:val="0"/>
        <w:spacing w:lineRule="auto" w:line="300" w:before="0" w:after="0"/>
        <w:ind w:left="720" w:right="0" w:hanging="0"/>
        <w:jc w:val="both"/>
        <w:rPr/>
      </w:pPr>
      <w:r>
        <w:rPr/>
        <w:t> </w:t>
      </w:r>
    </w:p>
    <w:tbl>
      <w:tblPr>
        <w:tblW w:w="2695" w:type="dxa"/>
        <w:jc w:val="left"/>
        <w:tblInd w:w="0" w:type="dxa"/>
        <w:tblLayout w:type="fixed"/>
        <w:tblCellMar>
          <w:top w:w="0" w:type="dxa"/>
          <w:left w:w="0" w:type="dxa"/>
          <w:bottom w:w="0" w:type="dxa"/>
          <w:right w:w="0" w:type="dxa"/>
        </w:tblCellMar>
      </w:tblPr>
      <w:tblGrid>
        <w:gridCol w:w="75"/>
        <w:gridCol w:w="125"/>
        <w:gridCol w:w="24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24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related obligations:</w:t>
            </w:r>
          </w:p>
        </w:tc>
      </w:tr>
    </w:tbl>
    <w:p>
      <w:pPr>
        <w:pStyle w:val="TextBody"/>
        <w:bidi w:val="0"/>
        <w:spacing w:lineRule="auto" w:line="300" w:before="0" w:after="0"/>
        <w:ind w:left="0" w:right="0" w:firstLine="36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Company accounts for employee related obligations in accordance with ASC Topic 715, “Compensation—retirement benefits.” The Israeli Severance Pay Law, 1963 (“Severance Pay Law”), specifies that employees are entitled to severance payment, following the termination of their employment. Under the Severance Pay Law, the severance payment is calculated as one-month salary for each year of employment, or a portion thereof. The Company’s liability for severance pay is covered by the provisions of Section 14 of the Severance Pay Law (“Section 14”). Under Section 14 employees are entitled to monthly deposits, at a rate of 8.33% of their monthly salary, contributed on their behalf to their insurance funds. Payments made in accordance with Section 14 release the Company from any future severance payments in respect of those employees.</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- 14</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a result, the Company does not recognize any asset or liability in connection with severance pay. Severance costs amounted to $4,734, $4,567 and $4,549 for the years ended December 31, 2023, 2022 and 2021, respectively.</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U.S. Subsidiaries have a 401(K) defined contribution plan covering certain employees in the U.S. The expenses recorded by the U.S. subsidiaries for matching contributions for the years ended December 31, 2023, 2022 and 2021 were immaterial.</w:t>
      </w:r>
    </w:p>
    <w:p>
      <w:pPr>
        <w:pStyle w:val="TextBody"/>
        <w:bidi w:val="0"/>
        <w:spacing w:lineRule="auto" w:line="300" w:before="0" w:after="0"/>
        <w:jc w:val="both"/>
        <w:rPr/>
      </w:pPr>
      <w:r>
        <w:rPr/>
        <w:t> </w:t>
      </w:r>
    </w:p>
    <w:tbl>
      <w:tblPr>
        <w:tblW w:w="2650" w:type="dxa"/>
        <w:jc w:val="left"/>
        <w:tblInd w:w="0" w:type="dxa"/>
        <w:tblLayout w:type="fixed"/>
        <w:tblCellMar>
          <w:top w:w="0" w:type="dxa"/>
          <w:left w:w="0" w:type="dxa"/>
          <w:bottom w:w="0" w:type="dxa"/>
          <w:right w:w="0" w:type="dxa"/>
        </w:tblCellMar>
      </w:tblPr>
      <w:tblGrid>
        <w:gridCol w:w="75"/>
        <w:gridCol w:w="140"/>
        <w:gridCol w:w="24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p>
        </w:tc>
        <w:tc>
          <w:tcPr>
            <w:tcW w:w="2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User funds and user accounts: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has an arrangement with an existing payment service provider to hold funds on behalf of buyers and sellers (“users”). User funds consist of buyers’ prepayments, including the Company’s transaction and service fees that would be earned when an order is completed, credits issued upon cancellations and seller fees that have not yet been withdrawn. User accounts represent the corresponding liability to the users.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does not have ownership over the funds and does not have the right to direct the funds to be used at will or for its own benefit other than those funds related to transaction and service fees owed to the Company after control has been obtained by the customers.</w:t>
      </w:r>
    </w:p>
    <w:p>
      <w:pPr>
        <w:pStyle w:val="TextBody"/>
        <w:bidi w:val="0"/>
        <w:spacing w:lineRule="auto" w:line="300" w:before="0" w:after="0"/>
        <w:jc w:val="both"/>
        <w:rPr/>
      </w:pPr>
      <w:r>
        <w:rPr/>
        <w:t> </w:t>
      </w:r>
    </w:p>
    <w:tbl>
      <w:tblPr>
        <w:tblW w:w="835" w:type="dxa"/>
        <w:jc w:val="left"/>
        <w:tblInd w:w="0" w:type="dxa"/>
        <w:tblLayout w:type="fixed"/>
        <w:tblCellMar>
          <w:top w:w="0" w:type="dxa"/>
          <w:left w:w="0" w:type="dxa"/>
          <w:bottom w:w="0" w:type="dxa"/>
          <w:right w:w="0" w:type="dxa"/>
        </w:tblCellMar>
      </w:tblPr>
      <w:tblGrid>
        <w:gridCol w:w="75"/>
        <w:gridCol w:w="125"/>
        <w:gridCol w:w="6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t>
            </w:r>
          </w:p>
        </w:tc>
        <w:tc>
          <w:tcPr>
            <w:tcW w:w="6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Leases:</w:t>
            </w:r>
          </w:p>
        </w:tc>
      </w:tr>
    </w:tbl>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determines if an arrangement meets the definition of a lease at the inception of the lease.</w:t>
      </w:r>
    </w:p>
    <w:p>
      <w:pPr>
        <w:pStyle w:val="TextBody"/>
        <w:bidi w:val="0"/>
        <w:spacing w:lineRule="auto" w:line="300" w:before="0" w:after="0"/>
        <w:ind w:left="0" w:right="0" w:firstLine="72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ROU assets represent the right to use an underlying asset for the lease term and lease liabilities represent the Company’s obligation to make lease payments arising from the lease agreement. ROU asset is measured based on the discounted present value of the remaining lease payments, initial direct costs incurred and prepaid lease payments, excluding lease incentives. The lease liability is measured based on the discounted present value of the remaining lease payments. The discounted present value of remaining lease payments is computed using IBR based on the information available at the inception of the lease. The Company’s IBR was estimated to approximate the interest rate for collateralized borrowing with similar terms and payments and in economic environments where the leased asset was located.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Lease term may include options to extend or terminate the lease when it is reasonably certain that the Company would exercise that option. The Company elected the practical expedient for lease agreements with a term of twelve months or less and does not recognize ROU assets and lease liabilities in respect of those agreements.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Payments under the Company’s lease agreements are primarily fixed, however, certain lease agreements contain variable costs such as common area maintenance, real estate taxes, and insurance are not included in the lease liability and are recognized as they are incurred.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subleases a specific section or certain square footage, for a fixed term, of its office space to one or more subtenants (third parties) while retaining the remaining space for its own use. The sublease agreement may include renewal options, allowing the subtenant to extend the sublease term based on mutually agreed-upon conditions. Sublease income is recognized over the term of the agreement.</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elected the practical expedient to not separate lease and non-lease components for its leases.</w:t>
      </w:r>
    </w:p>
    <w:p>
      <w:pPr>
        <w:pStyle w:val="TextBody"/>
        <w:bidi w:val="0"/>
        <w:spacing w:lineRule="auto" w:line="300" w:before="0" w:after="0"/>
        <w:ind w:left="0" w:right="0" w:firstLine="720"/>
        <w:jc w:val="both"/>
        <w:rPr/>
      </w:pPr>
      <w:r>
        <w:rPr/>
        <w:t> </w:t>
      </w:r>
    </w:p>
    <w:tbl>
      <w:tblPr>
        <w:tblW w:w="1060" w:type="dxa"/>
        <w:jc w:val="left"/>
        <w:tblInd w:w="0" w:type="dxa"/>
        <w:tblLayout w:type="fixed"/>
        <w:tblCellMar>
          <w:top w:w="0" w:type="dxa"/>
          <w:left w:w="0" w:type="dxa"/>
          <w:bottom w:w="0" w:type="dxa"/>
          <w:right w:w="0" w:type="dxa"/>
        </w:tblCellMar>
      </w:tblPr>
      <w:tblGrid>
        <w:gridCol w:w="75"/>
        <w:gridCol w:w="170"/>
        <w:gridCol w:w="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w:t>
            </w:r>
          </w:p>
        </w:tc>
        <w:tc>
          <w:tcPr>
            <w:tcW w:w="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Revenue:</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revenue was primarily comprised of transaction fees and service fees. The Company earns transaction fees for enabling orders and providing other services and service fees to cover administrative fees.</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Company’s customers are the users on its platform. Users accept the Company’s terms of service upon registration to the platform. Gross order amount including transaction and service fees is collected from the buyer upfront by a third-party payment provider. The prepaid amounts from buyers are simultaneously recorded as an asset under user funds with a corresponding liability to buyers under user accounts and deferred revenue until the order is completed or canceled.</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- 15</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contract with a customer exists only when: the parties to the contract have approved it and are committed to perform their respective obligations, the Company can identify each party’s rights regarding the distinct services to be transferred (“performance obligations”), the Company can determine the transaction price for the services to be transferred, the contract has commercial substance and it is probable that the Company will collect the consideration to which it will be entitled in exchange for the services that will be transferred to the customer.</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revenues are primarily comprised of one distinct performance obligation which is to arrange services to be provided (including communication, engagement and payment processing) on its marketplace platform by the sellers to the buyers.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earns transaction fees and service fees that are based on the total value of transactions ordered through the platform once the buyer obtains control of the service, which occurs at a point in time upon the completion of each order.</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Revenue is recorded in the amount of consideration to which the Company expects to be entitled in exchange for performance obligations upon transfer of control to the customer, excluding amounts collected on behalf of other third parties and indirect taxes.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Revenue is mainly recognized on a net basis since the Company has concluded that it acts as an agent on its platform, mainly since it does not take responsibility for the sellers’ services and therefore it is not primarily responsible for fulfilling the promise to provide the service and doesn’t have discretion in price establishment. Therefore, the Company does not obtain control of the services before they are transferred to the customer.</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elected to use the practical expedient and recognize the incremental costs of obtaining contracts as an expense since the amortization period of the assets that the Company otherwise would have recognized is one year or less. Similarly, the Company does not disclose the value of unsatisfied performance obligations since the original expected duration of the contracts is one year or less.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recognizes revenue from unused user accounts balances once the likelihood of the users exercising their unused accounts balances becomes remote and the Company is not required to remit such unused account balances to a third party in accordance with applicable unclaimed property laws. The amounts recognized for the year ended December 31, 2023, 2022 and 2021 were immaterial.</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Revenue from subscriptions including the Company’s content marketing platform, online learning platform, creative talent platform and back-office platform are mainly recognized over time, when the service is rendered to the customer. Revenue from the Company’s freelancer management platform is recognized at a point time upon the management service is rendered.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Disaggregated revenue:</w:t>
      </w:r>
    </w:p>
    <w:p>
      <w:pPr>
        <w:pStyle w:val="TextBody"/>
        <w:bidi w:val="0"/>
        <w:spacing w:lineRule="auto" w:line="300" w:before="0" w:after="0"/>
        <w:ind w:left="0" w:right="0" w:firstLine="720"/>
        <w:jc w:val="both"/>
        <w:rPr/>
      </w:pPr>
      <w:r>
        <w:rP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The Company’s transaction fees for the years ended December 31, 2023, 2022 and 2021 were $270,266, $250,846 and $217,086, respectively.</w:t>
      </w:r>
    </w:p>
    <w:p>
      <w:pPr>
        <w:pStyle w:val="TextBody"/>
        <w:bidi w:val="0"/>
        <w:spacing w:lineRule="auto" w:line="300" w:before="0" w:after="0"/>
        <w:ind w:left="1298" w:right="0" w:hanging="0"/>
        <w:jc w:val="both"/>
        <w:rPr/>
      </w:pPr>
      <w:r>
        <w:rP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The Company’s services fees for the years ended December 31, 2023, 2022 and 2021 were $91,109, $86,520 and $80,576, respectively.</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Contract liabilities:</w:t>
      </w:r>
    </w:p>
    <w:p>
      <w:pPr>
        <w:pStyle w:val="TextBody"/>
        <w:bidi w:val="0"/>
        <w:spacing w:lineRule="auto" w:line="300" w:before="0" w:after="0"/>
        <w:ind w:left="0" w:right="0" w:firstLine="720"/>
        <w:jc w:val="both"/>
        <w:rPr/>
      </w:pPr>
      <w:r>
        <w:rPr/>
        <w:t> </w:t>
      </w:r>
    </w:p>
    <w:p>
      <w:pPr>
        <w:pStyle w:val="TextBody"/>
        <w:bidi w:val="0"/>
        <w:spacing w:lineRule="auto" w:line="300" w:before="0" w:after="0"/>
        <w:ind w:left="1440" w:right="0" w:hanging="0"/>
        <w:jc w:val="both"/>
        <w:rPr>
          <w:rFonts w:ascii="Times New Roman;Times;serif" w:hAnsi="Times New Roman;Times;serif"/>
          <w:sz w:val="20"/>
        </w:rPr>
      </w:pPr>
      <w:r>
        <w:rPr>
          <w:rFonts w:ascii="Times New Roman;Times;serif" w:hAnsi="Times New Roman;Times;serif"/>
          <w:sz w:val="20"/>
        </w:rPr>
        <w:t>The Company’s contract liabilities mainly consist of deferred revenues from transaction and service fees received in advance for services for which control has not been yet obtained by the customers. Deferred revenues amounted to $11,047 and $11,353 as of December 31, 2023 and 2022, respectively.</w:t>
      </w:r>
    </w:p>
    <w:p>
      <w:pPr>
        <w:pStyle w:val="TextBody"/>
        <w:bidi w:val="0"/>
        <w:spacing w:lineRule="auto" w:line="300" w:before="0" w:after="0"/>
        <w:jc w:val="both"/>
        <w:rPr/>
      </w:pPr>
      <w:r>
        <w:rPr/>
        <w:t> </w:t>
      </w:r>
    </w:p>
    <w:tbl>
      <w:tblPr>
        <w:tblW w:w="1615" w:type="dxa"/>
        <w:jc w:val="left"/>
        <w:tblInd w:w="0" w:type="dxa"/>
        <w:tblLayout w:type="fixed"/>
        <w:tblCellMar>
          <w:top w:w="0" w:type="dxa"/>
          <w:left w:w="0" w:type="dxa"/>
          <w:bottom w:w="0" w:type="dxa"/>
          <w:right w:w="0" w:type="dxa"/>
        </w:tblCellMar>
      </w:tblPr>
      <w:tblGrid>
        <w:gridCol w:w="75"/>
        <w:gridCol w:w="170"/>
        <w:gridCol w:w="1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1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 of revenue:</w:t>
            </w:r>
          </w:p>
        </w:tc>
      </w:tr>
    </w:tbl>
    <w:p>
      <w:pPr>
        <w:pStyle w:val="TextBody"/>
        <w:bidi w:val="0"/>
        <w:spacing w:lineRule="auto" w:line="300" w:before="0" w:after="0"/>
        <w:ind w:left="0" w:right="0" w:firstLine="36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Cost of revenue is mainly comprised of expenses related to payment processing companies’ fees, server hosting fees, costs of the Company’s customer support personnel, amortization of capitalized internal-use software and developed technology and courses.</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- 16</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200"/>
        <w:gridCol w:w="30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t>
            </w:r>
          </w:p>
        </w:tc>
        <w:tc>
          <w:tcPr>
            <w:tcW w:w="3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Research and development expenses: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Research and development expenses are primarily comprised of costs of the Company’s research and development personnel, related overhead costs, including share-based compensation, development related activities expenses including new initiatives and other. Research and development costs are expensed as incurred, except to the extent that such costs are associated with internal-use software that qualifies for capitalization.</w:t>
      </w:r>
    </w:p>
    <w:p>
      <w:pPr>
        <w:pStyle w:val="TextBody"/>
        <w:bidi w:val="0"/>
        <w:spacing w:lineRule="auto" w:line="300" w:before="0" w:after="0"/>
        <w:jc w:val="both"/>
        <w:rPr/>
      </w:pPr>
      <w:r>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25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Sales and marketing expenses: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Sales and marketing expenses are primarily comprised of costs of the Company’s marketing personnel, the related overhead costs, including share-based compensation for employees engaged in sales, marketing, advertising and promotional activities. A significant component is performance marketing investments such as user acquisition costs, branding costs, marketing campaigns and other media advertisements, and amortization of customer relationships, creative relationships and trade name and other advertising costs. Sales and marketing expenses are expensed as incurred.</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Advertising costs were $112,796, $119,519 and $108,645 for the years ended December 31, 2023, 2022 and 2021, respectively.</w:t>
      </w:r>
    </w:p>
    <w:p>
      <w:pPr>
        <w:pStyle w:val="TextBody"/>
        <w:bidi w:val="0"/>
        <w:spacing w:lineRule="auto" w:line="300" w:before="0" w:after="0"/>
        <w:ind w:left="0" w:right="0" w:firstLine="360"/>
        <w:jc w:val="both"/>
        <w:rPr/>
      </w:pPr>
      <w:r>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3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and administrative expenses: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General and administrative expenses primarily include overhead related costs, including share-based compensation of The Company’s executive, finance, legal, human resources and other administrative personnel. General and administrative expenses also include legal, accounting and other professional service fees, other corporate expenses, as well as chargeback expenses and costs associated with fraud risk reduction and others. General and administrative expenses are expensed as incurred.</w:t>
      </w:r>
    </w:p>
    <w:p>
      <w:pPr>
        <w:pStyle w:val="TextBody"/>
        <w:bidi w:val="0"/>
        <w:spacing w:lineRule="auto" w:line="300"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55"/>
        <w:gridCol w:w="224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w:t>
            </w:r>
          </w:p>
        </w:tc>
        <w:tc>
          <w:tcPr>
            <w:tcW w:w="2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Share based compensation:</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accounts for share-based compensation in accordance with ASC Topic 718, “Compensation—Stock Compensation.” Share based awards are mainly granted to employees and members of the Company’s board of directors and measured at fair value at each grant date. The Company calculates the fair value of share options and Employee Share Purchase Plans (“ESPP”) on the date of grant using the Black-Scholes option-pricing model and the expense is recognized over the requisite service period for awards expected to vest using the straight-line method. The Company recognizes the fair value of Restricted Share Units (“RSUs”) on the grant date based on the market value of the underlying share and the expense is recognized over the requisite service period for awards using the straight-line method.</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requisite service period for share options is generally four years. The Company recognizes forfeitures as they occur.</w:t>
      </w:r>
    </w:p>
    <w:p>
      <w:pPr>
        <w:pStyle w:val="TextBody"/>
        <w:bidi w:val="0"/>
        <w:spacing w:lineRule="auto" w:line="300" w:before="0" w:after="0"/>
        <w:ind w:left="0" w:right="0" w:firstLine="72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Black-Scholes option-pricing model requires the Company to make a number of assumptions, including expected volatility, expected term, risk-free interest rate and expected dividends. The Company evaluates the assumptions used to value share options and ESPP upon each grant date.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Expected volatility of share options was calculated based on the Company’s volatility as well as the implied volatilities from market comparisons of certain publicly traded companies and other factors. Expected volatility for ESPP was calculated based upon the Company’s share prices.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expected share options term was calculated based on the simplified method, which uses the midpoint between the vesting date and the contractual term, as the Company does not have sufficient historical data to develop an estimate based on participant behavior.</w:t>
      </w:r>
    </w:p>
    <w:p>
      <w:pPr>
        <w:pStyle w:val="TextBody"/>
        <w:bidi w:val="0"/>
        <w:spacing w:lineRule="auto" w:line="300" w:before="0" w:after="0"/>
        <w:ind w:left="720" w:right="0" w:hanging="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risk-free interest rate was based on the U.S. treasury bonds yield with an equivalent term.</w:t>
      </w:r>
    </w:p>
    <w:p>
      <w:pPr>
        <w:pStyle w:val="TextBody"/>
        <w:bidi w:val="0"/>
        <w:spacing w:lineRule="auto" w:line="300" w:before="0" w:after="0"/>
        <w:ind w:left="0" w:right="0" w:firstLine="720"/>
        <w:jc w:val="both"/>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The Company has not paid dividends and has no foreseeable plans to pay dividends.</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- 17</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75"/>
        <w:gridCol w:w="245"/>
        <w:gridCol w:w="11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w:t>
            </w:r>
          </w:p>
        </w:tc>
        <w:tc>
          <w:tcPr>
            <w:tcW w:w="1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ASC Topic 740, “Accounting for Income Taxes,” using the liability method. Under the liability method, deferred assets and liabilities are recognized based upon anticipated future tax consequences attributable to differences between the financial statement carrying amounts of assets and liabilities and their respective tax bases. Deferred tax assets and liabilities are measured using the enacted tax rates that will be in effect for the years in which those tax assets are expected to be realized or settled.</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regularly assesses the likelihood that its deferred tax assets will be realized from recoverable income taxes or recovered from future taxable income based on the realization criteria set forth in the relevant authoritative guidance. To the extent the Company believes any amounts are not more likely than not to be realized, the Company records a valuation allowance to reduce its deferred tax assets. The realization of deferred tax assets is dependent upon future earnings, if any, the timing, and amount of which are uncertain. Accordingly, the net deferred tax assets have been fully offset by a valuation allowance. If the Company subsequently realizes or determines it is more likely than not that it will realize deferred tax assets that were previously determined to be unrealizable, the respective valuation allowance would be reversed, resulting in an adjustment to earnings in the period such determination is made.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recognizes uncertain tax positions based on its estimate of whether, and the extent to which, additional taxes will be due. These liabilities are established utilizing a two-step approach when the Company believes that certain positions might be challenged despite its belief that its tax return positions are fully supportable. The first step requires the Company to determine if the weight of available evidence indicates a tax position is more likely than not to be sustained upon audit. The second step is based on the largest amount of benefit, which is more likely than not to be realized on ultimate settlement.</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Any interest and penalties related to unrecognized tax benefits are recorded as income tax expense. The Company adjusts these liabilities in light of changing facts and circumstances, such as the outcome of a tax audit or changes in the tax law.</w:t>
      </w:r>
    </w:p>
    <w:p>
      <w:pPr>
        <w:pStyle w:val="TextBody"/>
        <w:bidi w:val="0"/>
        <w:spacing w:lineRule="auto" w:line="300"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75"/>
        <w:gridCol w:w="260"/>
        <w:gridCol w:w="15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w:t>
            </w:r>
          </w:p>
        </w:tc>
        <w:tc>
          <w:tcPr>
            <w:tcW w:w="1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Segment reporting:</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identifies operating segments in accordance with ASC Topic 280, “Segment Reporting” as components of an entity for which discrete financial information is available and is regularly reviewed by the chief operating decision maker, or decision-making group, in making decisions regarding resource allocation and evaluating financial performance. The Company defines the term “chief operating decision maker” to be its chief executive officer. The Company determined it operates in one operating segment and one reportable segment, as its chief operating decision maker reviews financial information presented only on a consolidated basis for purposes of allocating resources and evaluating financial performance.</w:t>
      </w:r>
    </w:p>
    <w:p>
      <w:pPr>
        <w:pStyle w:val="TextBody"/>
        <w:bidi w:val="0"/>
        <w:spacing w:lineRule="auto" w:line="300" w:before="0" w:after="0"/>
        <w:jc w:val="both"/>
        <w:rPr/>
      </w:pPr>
      <w:r>
        <w:rPr/>
        <w:t> </w:t>
      </w:r>
    </w:p>
    <w:tbl>
      <w:tblPr>
        <w:tblW w:w="4030" w:type="dxa"/>
        <w:jc w:val="left"/>
        <w:tblInd w:w="0" w:type="dxa"/>
        <w:tblLayout w:type="fixed"/>
        <w:tblCellMar>
          <w:top w:w="0" w:type="dxa"/>
          <w:left w:w="0" w:type="dxa"/>
          <w:bottom w:w="0" w:type="dxa"/>
          <w:right w:w="0" w:type="dxa"/>
        </w:tblCellMar>
      </w:tblPr>
      <w:tblGrid>
        <w:gridCol w:w="75"/>
        <w:gridCol w:w="245"/>
        <w:gridCol w:w="37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w:t>
            </w:r>
          </w:p>
        </w:tc>
        <w:tc>
          <w:tcPr>
            <w:tcW w:w="37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Basic and diluted net income (loss) per share:</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computes basic net income (loss) per share in accordance with ASC Topic 260, “Earnings per Share” by dividing the net income (loss) attributable to ordinary shareholders by the weighted average number of ordinary shares outstanding during the year. Diluted net income (loss) per share is computed by taking into account the potential dilution that could occur upon the exercise of share options and ESPP and vesting of RSUs granted under share-based compensation plans using the treasury stock method and the potential dilution that could occur upon conversion of the convertible notes (including adding back amortization of issuance costs related to the convertible notes) using the if converted method.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2023, 2022 and 2021, the number of potentially dilutive RSUs, share options to purchase ordinary shares and potentially dilutive ordinary shares from conversion of convertible notes that were excluded from the computation due to the anti-dilutive effect amounted to 5,792,535, 6,386,203 and 5,840,619 respectively.</w:t>
      </w:r>
    </w:p>
    <w:p>
      <w:pPr>
        <w:pStyle w:val="TextBody"/>
        <w:bidi w:val="0"/>
        <w:spacing w:lineRule="auto" w:line="300" w:before="0" w:after="0"/>
        <w:jc w:val="both"/>
        <w:rPr/>
      </w:pPr>
      <w:r>
        <w:rPr/>
        <w:t> </w:t>
      </w:r>
    </w:p>
    <w:tbl>
      <w:tblPr>
        <w:tblW w:w="1585" w:type="dxa"/>
        <w:jc w:val="left"/>
        <w:tblInd w:w="0" w:type="dxa"/>
        <w:tblLayout w:type="fixed"/>
        <w:tblCellMar>
          <w:top w:w="0" w:type="dxa"/>
          <w:left w:w="0" w:type="dxa"/>
          <w:bottom w:w="0" w:type="dxa"/>
          <w:right w:w="0" w:type="dxa"/>
        </w:tblCellMar>
      </w:tblPr>
      <w:tblGrid>
        <w:gridCol w:w="60"/>
        <w:gridCol w:w="260"/>
        <w:gridCol w:w="126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Contingencies:</w:t>
            </w:r>
          </w:p>
        </w:tc>
      </w:tr>
    </w:tbl>
    <w:p>
      <w:pPr>
        <w:pStyle w:val="TextBody"/>
        <w:bidi w:val="0"/>
        <w:spacing w:lineRule="auto" w:line="300" w:before="0" w:after="0"/>
        <w:ind w:left="0" w:right="0" w:firstLine="36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it discloses the range of such reasonably possible losses.</w:t>
      </w:r>
    </w:p>
    <w:p>
      <w:pPr>
        <w:pStyle w:val="TextBody"/>
        <w:bidi w:val="0"/>
        <w:spacing w:before="0" w:after="0"/>
        <w:ind w:left="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- 18</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245"/>
        <w:gridCol w:w="38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w:t>
            </w:r>
          </w:p>
        </w:tc>
        <w:tc>
          <w:tcPr>
            <w:tcW w:w="3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Recently adopted accounting pronouncements:</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October 2021 the FASB ASU 2021-08, Topic 805 “Business Combinations” – Accounting for Contract Assets and Contract Liabilities from Contracts with Customers. The amendments in this update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To achieve this, an acquirer may assess how the acquiree applied Topic 606 to determine what to record for the acquired revenue contracts.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amendments in this update are effective for fiscal years beginning after December 15, 2022, including interim periods within those fiscal years. The Company early adopted the standard in 2021. Acquisitions of businesses assumed during the year ended December 31, 2021 were presented in conformity with the provisions of the standard.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adopted this standard on January 1, 2022 using the modified retrospective approach. As of December 31, 2021 the adoption resulted in a reclassification of the equity component representing the conversion option of $78,157 from additional paid in capital to convertible notes and $21,033 from additional paid in capital to retained earnings. Interest expense would be reduced as a result of accounting for the convertible notes instrument as a single debt measured at its amortized cost.</w:t>
      </w:r>
    </w:p>
    <w:p>
      <w:pPr>
        <w:pStyle w:val="TextBody"/>
        <w:bidi w:val="0"/>
        <w:spacing w:lineRule="auto" w:line="300" w:before="0" w:after="0"/>
        <w:ind w:left="0" w:right="0" w:firstLine="360"/>
        <w:jc w:val="both"/>
        <w:rPr/>
      </w:pPr>
      <w:r>
        <w:rPr/>
        <w:t> </w:t>
      </w:r>
    </w:p>
    <w:tbl>
      <w:tblPr>
        <w:tblW w:w="4765" w:type="dxa"/>
        <w:jc w:val="left"/>
        <w:tblInd w:w="0" w:type="dxa"/>
        <w:tblLayout w:type="fixed"/>
        <w:tblCellMar>
          <w:top w:w="0" w:type="dxa"/>
          <w:left w:w="0" w:type="dxa"/>
          <w:bottom w:w="0" w:type="dxa"/>
          <w:right w:w="0" w:type="dxa"/>
        </w:tblCellMar>
      </w:tblPr>
      <w:tblGrid>
        <w:gridCol w:w="60"/>
        <w:gridCol w:w="215"/>
        <w:gridCol w:w="449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Recently not yet adopted accounting pronouncements:</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annual basis. Public entities with a single reportable segment are required to apply the disclosure requirements in ASU</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2023-07, as well as all existing segment disclosures and reconciliation requirements in ASC 280 on an annual basis. ASU 2023-07 is effective for fiscal years beginning after December 15, 2023, with early adoption permitted. The Company is currently evaluating the impact of adopting ASU 2023-07.</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pStyle w:val="TextBody"/>
        <w:bidi w:val="0"/>
        <w:spacing w:lineRule="auto" w:line="300"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60"/>
        <w:gridCol w:w="260"/>
        <w:gridCol w:w="764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w:t>
            </w:r>
          </w:p>
        </w:tc>
        <w:tc>
          <w:tcPr>
            <w:tcW w:w="7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comparative figures have been reclassified to conform to the current year presentation.</w:t>
            </w:r>
          </w:p>
        </w:tc>
      </w:tr>
    </w:tbl>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before="0" w:after="0"/>
        <w:jc w:val="left"/>
        <w:rPr/>
      </w:pPr>
      <w:r>
        <w:rPr>
          <w:rStyle w:val="StrongEmphasis"/>
          <w:rFonts w:ascii="Times New Roman;Times;serif" w:hAnsi="Times New Roman;Times;serif"/>
          <w:sz w:val="20"/>
        </w:rPr>
        <w:t>Note 3: - Certain transactions</w:t>
      </w:r>
    </w:p>
    <w:p>
      <w:pPr>
        <w:pStyle w:val="TextBody"/>
        <w:bidi w:val="0"/>
        <w:spacing w:lineRule="auto" w:line="300" w:before="0" w:after="0"/>
        <w:jc w:val="both"/>
        <w:rPr/>
      </w:pPr>
      <w:r>
        <w:rPr/>
        <w:t> </w:t>
      </w:r>
    </w:p>
    <w:tbl>
      <w:tblPr>
        <w:tblW w:w="3115" w:type="dxa"/>
        <w:jc w:val="left"/>
        <w:tblInd w:w="0" w:type="dxa"/>
        <w:tblLayout w:type="fixed"/>
        <w:tblCellMar>
          <w:top w:w="0" w:type="dxa"/>
          <w:left w:w="0" w:type="dxa"/>
          <w:bottom w:w="0" w:type="dxa"/>
          <w:right w:w="0" w:type="dxa"/>
        </w:tblCellMar>
      </w:tblPr>
      <w:tblGrid>
        <w:gridCol w:w="75"/>
        <w:gridCol w:w="155"/>
        <w:gridCol w:w="288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Working Not Working acquisition:</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January 2021, the Company acquired all the outstanding shares of Working Not Working, Inc. (“WnW”), a creative talent platform for a consideration of $9,922.</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results of operations of WnW were consolidated in the Company’s financial statements commencing the date of acquisition.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agreement stipulated additional contingent payments which are not included in the total consideration to the shareholders of WnW in an aggregate amount of up to $3,500 subject to the continued employment of the founders of WnW, out of which the Company recorded a liability of $1,500 as of December 31, 2021 which was fully paid during 2022.</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table below summarizes the preliminary fair value of the acquired assets and assumed liabilities and the goodwill as of the acquisition date:</w:t>
      </w:r>
    </w:p>
    <w:p>
      <w:pPr>
        <w:pStyle w:val="TextBody"/>
        <w:bidi w:val="0"/>
        <w:spacing w:lineRule="auto" w:line="300" w:before="0" w:after="0"/>
        <w:jc w:val="left"/>
        <w:rPr/>
      </w:pPr>
      <w:r>
        <w:rPr/>
        <w:t> </w:t>
      </w:r>
    </w:p>
    <w:tbl>
      <w:tblPr>
        <w:tblW w:w="4759" w:type="dxa"/>
        <w:jc w:val="left"/>
        <w:tblInd w:w="720" w:type="dxa"/>
        <w:tblLayout w:type="fixed"/>
        <w:tblCellMar>
          <w:top w:w="0" w:type="dxa"/>
          <w:left w:w="0" w:type="dxa"/>
          <w:bottom w:w="0" w:type="dxa"/>
          <w:right w:w="0" w:type="dxa"/>
        </w:tblCellMar>
      </w:tblPr>
      <w:tblGrid>
        <w:gridCol w:w="2435"/>
        <w:gridCol w:w="60"/>
        <w:gridCol w:w="158"/>
        <w:gridCol w:w="746"/>
        <w:gridCol w:w="80"/>
        <w:gridCol w:w="60"/>
        <w:gridCol w:w="139"/>
        <w:gridCol w:w="1021"/>
        <w:gridCol w:w="60"/>
      </w:tblGrid>
      <w:tr>
        <w:trPr/>
        <w:tc>
          <w:tcPr>
            <w:tcW w:w="24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Amortization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period</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tangible assets assumed</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Creative relationships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 years</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name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 years</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Goodwill</w:t>
            </w:r>
          </w:p>
        </w:tc>
        <w:tc>
          <w:tcPr>
            <w:tcW w:w="6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10"/>
        <w:jc w:val="left"/>
        <w:rPr>
          <w:rFonts w:ascii="Times New Roman;Times;serif" w:hAnsi="Times New Roman;Times;serif"/>
          <w:sz w:val="20"/>
        </w:rPr>
      </w:pPr>
      <w:r>
        <w:rPr>
          <w:rFonts w:ascii="Times New Roman;Times;serif" w:hAnsi="Times New Roman;Times;serif"/>
          <w:sz w:val="20"/>
        </w:rPr>
        <w:t>The Company incurred approximately $292 in acquisition expenses for the year ended December 31, 2021 recorded under general and administrative expenses.</w:t>
      </w:r>
    </w:p>
    <w:p>
      <w:pPr>
        <w:pStyle w:val="TextBody"/>
        <w:bidi w:val="0"/>
        <w:spacing w:lineRule="auto" w:line="300" w:before="0" w:after="0"/>
        <w:jc w:val="left"/>
        <w:rPr/>
      </w:pPr>
      <w:r>
        <w:rPr/>
        <w:t> </w:t>
      </w:r>
    </w:p>
    <w:p>
      <w:pPr>
        <w:pStyle w:val="TextBody"/>
        <w:bidi w:val="0"/>
        <w:spacing w:lineRule="auto" w:line="300" w:before="0" w:after="0"/>
        <w:ind w:left="709" w:right="0" w:hanging="0"/>
        <w:jc w:val="left"/>
        <w:rPr>
          <w:rFonts w:ascii="Times New Roman;Times;serif" w:hAnsi="Times New Roman;Times;serif"/>
          <w:sz w:val="20"/>
        </w:rPr>
      </w:pPr>
      <w:r>
        <w:rPr>
          <w:rFonts w:ascii="Times New Roman;Times;serif" w:hAnsi="Times New Roman;Times;serif"/>
          <w:sz w:val="20"/>
        </w:rPr>
        <w:t>Pro forma results of operations related to this acquisition have not been presented because they are not material to the Company’s consolidated statements of operations.</w:t>
      </w:r>
    </w:p>
    <w:p>
      <w:pPr>
        <w:pStyle w:val="TextBody"/>
        <w:bidi w:val="0"/>
        <w:spacing w:lineRule="auto" w:line="300" w:before="0" w:after="0"/>
        <w:ind w:left="709"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- 20</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1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CreativeLive acquisition:</w:t>
            </w:r>
          </w:p>
        </w:tc>
      </w:tr>
    </w:tbl>
    <w:p>
      <w:pPr>
        <w:pStyle w:val="TextBody"/>
        <w:bidi w:val="0"/>
        <w:spacing w:lineRule="auto" w:line="300" w:before="0" w:after="0"/>
        <w:ind w:left="0" w:right="0" w:firstLine="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October 2021, the Company acquired all of the outstanding shares of CreativeLive, Inc. (“CreativeLive”), an online learning platform for a consideration of $9,332. The results of operations of CreativeLive were consolidated in the Company’s financial statements commencing the date of acquisition.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agreement stipulated additional payments which were not included in the consideration including a payment to employees of CreativeLive by shareholders for past services in the amount of $1,500 paid at closing and retention bonus of $1,500 subject to the employees continued employment, out of which the Company recorded $1,125 and $375 under operating expenses for the years ended December 31, 2022 and 2021. The outstanding liability was fully paid during 2022. The agreement also stipulated contingent payments to shareholders of CreativeLive in an aggregate amount of up to $1,500 subject to certain milestones to be paid after 18 months.</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table below summarizes the preliminary fair value of the acquired assets and assumed liabilities and the goodwill as of the acquisition date:</w:t>
      </w:r>
    </w:p>
    <w:p>
      <w:pPr>
        <w:pStyle w:val="TextBody"/>
        <w:bidi w:val="0"/>
        <w:spacing w:lineRule="auto" w:line="300" w:before="0" w:after="0"/>
        <w:jc w:val="left"/>
        <w:rPr/>
      </w:pPr>
      <w:r>
        <w:rPr/>
        <w:t> </w:t>
      </w:r>
    </w:p>
    <w:tbl>
      <w:tblPr>
        <w:tblW w:w="6094" w:type="dxa"/>
        <w:jc w:val="left"/>
        <w:tblInd w:w="720" w:type="dxa"/>
        <w:tblLayout w:type="fixed"/>
        <w:tblCellMar>
          <w:top w:w="0" w:type="dxa"/>
          <w:left w:w="0" w:type="dxa"/>
          <w:bottom w:w="0" w:type="dxa"/>
          <w:right w:w="0" w:type="dxa"/>
        </w:tblCellMar>
      </w:tblPr>
      <w:tblGrid>
        <w:gridCol w:w="3770"/>
        <w:gridCol w:w="60"/>
        <w:gridCol w:w="158"/>
        <w:gridCol w:w="746"/>
        <w:gridCol w:w="80"/>
        <w:gridCol w:w="60"/>
        <w:gridCol w:w="139"/>
        <w:gridCol w:w="1021"/>
        <w:gridCol w:w="60"/>
      </w:tblGrid>
      <w:tr>
        <w:trPr/>
        <w:tc>
          <w:tcPr>
            <w:tcW w:w="37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80"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lineRule="auto" w:line="300" w:before="0" w:after="0"/>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Amortization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period</w:t>
            </w:r>
          </w:p>
        </w:tc>
        <w:tc>
          <w:tcPr>
            <w:tcW w:w="60" w:type="dxa"/>
            <w:tcBorders/>
            <w:vAlign w:val="center"/>
          </w:tcPr>
          <w:p>
            <w:pPr>
              <w:pStyle w:val="TableContents"/>
              <w:bidi w:val="0"/>
              <w:spacing w:lineRule="auto" w:line="300" w:before="0" w:after="0"/>
              <w:jc w:val="left"/>
              <w:rPr/>
            </w:pPr>
            <w:r>
              <w:rPr/>
              <w:t> </w:t>
            </w:r>
          </w:p>
        </w:tc>
      </w:tr>
      <w:tr>
        <w:trPr/>
        <w:tc>
          <w:tcPr>
            <w:tcW w:w="37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lineRule="auto" w:line="300" w:before="0" w:after="0"/>
              <w:jc w:val="left"/>
              <w:rPr/>
            </w:pPr>
            <w:r>
              <w:rPr/>
              <w:t> </w:t>
            </w:r>
          </w:p>
        </w:tc>
        <w:tc>
          <w:tcPr>
            <w:tcW w:w="15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2,066</w:t>
            </w:r>
          </w:p>
        </w:tc>
        <w:tc>
          <w:tcPr>
            <w:tcW w:w="8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39" w:type="dxa"/>
            <w:tcBorders/>
            <w:shd w:fill="CCEEFF" w:val="clear"/>
            <w:vAlign w:val="center"/>
          </w:tcPr>
          <w:p>
            <w:pPr>
              <w:pStyle w:val="TableContents"/>
              <w:bidi w:val="0"/>
              <w:spacing w:lineRule="auto" w:line="300" w:before="0" w:after="0"/>
              <w:jc w:val="left"/>
              <w:rPr/>
            </w:pPr>
            <w:r>
              <w:rPr/>
              <w:t> </w:t>
            </w:r>
          </w:p>
        </w:tc>
        <w:tc>
          <w:tcPr>
            <w:tcW w:w="1021" w:type="dxa"/>
            <w:tcBorders/>
            <w:shd w:fill="CCEEFF" w:val="clear"/>
            <w:vAlign w:val="center"/>
          </w:tcPr>
          <w:p>
            <w:pPr>
              <w:pStyle w:val="TableContents"/>
              <w:bidi w:val="0"/>
              <w:spacing w:lineRule="auto" w:line="300" w:before="0" w:after="0"/>
              <w:jc w:val="center"/>
              <w:rPr/>
            </w:pPr>
            <w:r>
              <w:rPr/>
              <w:t> </w:t>
            </w:r>
          </w:p>
        </w:tc>
        <w:tc>
          <w:tcPr>
            <w:tcW w:w="60" w:type="dxa"/>
            <w:tcBorders/>
            <w:shd w:fill="CCEEFF" w:val="clear"/>
            <w:vAlign w:val="center"/>
          </w:tcPr>
          <w:p>
            <w:pPr>
              <w:pStyle w:val="TableContents"/>
              <w:bidi w:val="0"/>
              <w:spacing w:lineRule="auto" w:line="300" w:before="0" w:after="0"/>
              <w:jc w:val="center"/>
              <w:rPr/>
            </w:pPr>
            <w:r>
              <w:rPr/>
              <w:t> </w:t>
            </w:r>
          </w:p>
        </w:tc>
      </w:tr>
      <w:tr>
        <w:trPr/>
        <w:tc>
          <w:tcPr>
            <w:tcW w:w="37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tangible assets assumed</w:t>
            </w:r>
          </w:p>
        </w:tc>
        <w:tc>
          <w:tcPr>
            <w:tcW w:w="60" w:type="dxa"/>
            <w:tcBorders/>
            <w:vAlign w:val="center"/>
          </w:tcPr>
          <w:p>
            <w:pPr>
              <w:pStyle w:val="TableContents"/>
              <w:bidi w:val="0"/>
              <w:spacing w:lineRule="auto" w:line="300" w:before="0" w:after="0"/>
              <w:jc w:val="left"/>
              <w:rPr/>
            </w:pPr>
            <w:r>
              <w:rPr/>
              <w:t> </w:t>
            </w:r>
          </w:p>
        </w:tc>
        <w:tc>
          <w:tcPr>
            <w:tcW w:w="158" w:type="dxa"/>
            <w:tcBorders/>
            <w:vAlign w:val="center"/>
          </w:tcPr>
          <w:p>
            <w:pPr>
              <w:pStyle w:val="TableContents"/>
              <w:bidi w:val="0"/>
              <w:spacing w:lineRule="auto" w:line="300" w:before="0" w:after="0"/>
              <w:jc w:val="left"/>
              <w:rPr/>
            </w:pPr>
            <w:r>
              <w:rPr/>
              <w:t> </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552</w:t>
            </w:r>
          </w:p>
        </w:tc>
        <w:tc>
          <w:tcPr>
            <w:tcW w:w="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pPr>
            <w:r>
              <w:rPr/>
              <w:t> </w:t>
            </w:r>
          </w:p>
        </w:tc>
        <w:tc>
          <w:tcPr>
            <w:tcW w:w="1021"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lineRule="auto" w:line="300" w:before="0" w:after="0"/>
              <w:jc w:val="center"/>
              <w:rPr/>
            </w:pPr>
            <w:r>
              <w:rPr/>
              <w:t> </w:t>
            </w:r>
          </w:p>
        </w:tc>
      </w:tr>
      <w:tr>
        <w:trPr/>
        <w:tc>
          <w:tcPr>
            <w:tcW w:w="37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Courses</w:t>
            </w:r>
          </w:p>
        </w:tc>
        <w:tc>
          <w:tcPr>
            <w:tcW w:w="60" w:type="dxa"/>
            <w:tcBorders/>
            <w:shd w:fill="CCEEFF" w:val="clear"/>
            <w:vAlign w:val="center"/>
          </w:tcPr>
          <w:p>
            <w:pPr>
              <w:pStyle w:val="TableContents"/>
              <w:bidi w:val="0"/>
              <w:spacing w:lineRule="auto" w:line="300" w:before="0" w:after="0"/>
              <w:jc w:val="left"/>
              <w:rPr/>
            </w:pPr>
            <w:r>
              <w:rPr/>
              <w:t> </w:t>
            </w:r>
          </w:p>
        </w:tc>
        <w:tc>
          <w:tcPr>
            <w:tcW w:w="158" w:type="dxa"/>
            <w:tcBorders/>
            <w:shd w:fill="CCEEFF" w:val="clear"/>
            <w:vAlign w:val="center"/>
          </w:tcPr>
          <w:p>
            <w:pPr>
              <w:pStyle w:val="TableContents"/>
              <w:bidi w:val="0"/>
              <w:spacing w:lineRule="auto" w:line="300" w:before="0" w:after="0"/>
              <w:jc w:val="left"/>
              <w:rPr/>
            </w:pPr>
            <w:r>
              <w:rPr/>
              <w:t> </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1,311</w:t>
            </w:r>
          </w:p>
        </w:tc>
        <w:tc>
          <w:tcPr>
            <w:tcW w:w="8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39" w:type="dxa"/>
            <w:tcBorders/>
            <w:shd w:fill="CCEEFF" w:val="clear"/>
            <w:vAlign w:val="center"/>
          </w:tcPr>
          <w:p>
            <w:pPr>
              <w:pStyle w:val="TableContents"/>
              <w:bidi w:val="0"/>
              <w:spacing w:lineRule="auto" w:line="300" w:before="0" w:after="0"/>
              <w:jc w:val="left"/>
              <w:rPr/>
            </w:pPr>
            <w:r>
              <w:rPr/>
              <w:t> </w:t>
            </w:r>
          </w:p>
        </w:tc>
        <w:tc>
          <w:tcPr>
            <w:tcW w:w="102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 years</w:t>
            </w:r>
          </w:p>
        </w:tc>
        <w:tc>
          <w:tcPr>
            <w:tcW w:w="60" w:type="dxa"/>
            <w:tcBorders/>
            <w:shd w:fill="CCEEFF" w:val="clear"/>
            <w:vAlign w:val="center"/>
          </w:tcPr>
          <w:p>
            <w:pPr>
              <w:pStyle w:val="TableContents"/>
              <w:bidi w:val="0"/>
              <w:spacing w:lineRule="auto" w:line="300" w:before="0" w:after="0"/>
              <w:jc w:val="left"/>
              <w:rPr/>
            </w:pPr>
            <w:r>
              <w:rPr/>
              <w:t> </w:t>
            </w:r>
          </w:p>
        </w:tc>
      </w:tr>
      <w:tr>
        <w:trPr/>
        <w:tc>
          <w:tcPr>
            <w:tcW w:w="37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vAlign w:val="center"/>
          </w:tcPr>
          <w:p>
            <w:pPr>
              <w:pStyle w:val="TableContents"/>
              <w:bidi w:val="0"/>
              <w:spacing w:lineRule="auto" w:line="300" w:before="0" w:after="0"/>
              <w:jc w:val="left"/>
              <w:rPr/>
            </w:pPr>
            <w:r>
              <w:rPr/>
              <w:t> </w:t>
            </w:r>
          </w:p>
        </w:tc>
        <w:tc>
          <w:tcPr>
            <w:tcW w:w="158" w:type="dxa"/>
            <w:tcBorders/>
            <w:vAlign w:val="center"/>
          </w:tcPr>
          <w:p>
            <w:pPr>
              <w:pStyle w:val="TableContents"/>
              <w:bidi w:val="0"/>
              <w:spacing w:lineRule="auto" w:line="300" w:before="0" w:after="0"/>
              <w:jc w:val="left"/>
              <w:rPr/>
            </w:pPr>
            <w:r>
              <w:rPr/>
              <w:t> </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1,447</w:t>
            </w:r>
          </w:p>
        </w:tc>
        <w:tc>
          <w:tcPr>
            <w:tcW w:w="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pPr>
            <w:r>
              <w:rPr/>
              <w:t> </w:t>
            </w:r>
          </w:p>
        </w:tc>
        <w:tc>
          <w:tcPr>
            <w:tcW w:w="1021"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 years</w:t>
            </w:r>
          </w:p>
        </w:tc>
        <w:tc>
          <w:tcPr>
            <w:tcW w:w="60" w:type="dxa"/>
            <w:tcBorders/>
            <w:vAlign w:val="center"/>
          </w:tcPr>
          <w:p>
            <w:pPr>
              <w:pStyle w:val="TableContents"/>
              <w:bidi w:val="0"/>
              <w:spacing w:lineRule="auto" w:line="300" w:before="0" w:after="0"/>
              <w:jc w:val="left"/>
              <w:rPr/>
            </w:pPr>
            <w:r>
              <w:rPr/>
              <w:t> </w:t>
            </w:r>
          </w:p>
        </w:tc>
      </w:tr>
      <w:tr>
        <w:trPr/>
        <w:tc>
          <w:tcPr>
            <w:tcW w:w="37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Technology</w:t>
            </w:r>
          </w:p>
        </w:tc>
        <w:tc>
          <w:tcPr>
            <w:tcW w:w="60" w:type="dxa"/>
            <w:tcBorders/>
            <w:shd w:fill="CCEEFF" w:val="clear"/>
            <w:vAlign w:val="center"/>
          </w:tcPr>
          <w:p>
            <w:pPr>
              <w:pStyle w:val="TableContents"/>
              <w:bidi w:val="0"/>
              <w:spacing w:lineRule="auto" w:line="300" w:before="0" w:after="0"/>
              <w:jc w:val="left"/>
              <w:rPr/>
            </w:pPr>
            <w:r>
              <w:rPr/>
              <w:t> </w:t>
            </w:r>
          </w:p>
        </w:tc>
        <w:tc>
          <w:tcPr>
            <w:tcW w:w="158" w:type="dxa"/>
            <w:tcBorders/>
            <w:shd w:fill="CCEEFF" w:val="clear"/>
            <w:vAlign w:val="center"/>
          </w:tcPr>
          <w:p>
            <w:pPr>
              <w:pStyle w:val="TableContents"/>
              <w:bidi w:val="0"/>
              <w:spacing w:lineRule="auto" w:line="300" w:before="0" w:after="0"/>
              <w:jc w:val="left"/>
              <w:rPr/>
            </w:pPr>
            <w:r>
              <w:rPr/>
              <w:t> </w:t>
            </w:r>
          </w:p>
        </w:tc>
        <w:tc>
          <w:tcPr>
            <w:tcW w:w="7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1,522</w:t>
            </w:r>
          </w:p>
        </w:tc>
        <w:tc>
          <w:tcPr>
            <w:tcW w:w="8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39" w:type="dxa"/>
            <w:tcBorders/>
            <w:shd w:fill="CCEEFF" w:val="clear"/>
            <w:vAlign w:val="center"/>
          </w:tcPr>
          <w:p>
            <w:pPr>
              <w:pStyle w:val="TableContents"/>
              <w:bidi w:val="0"/>
              <w:spacing w:lineRule="auto" w:line="300" w:before="0" w:after="0"/>
              <w:jc w:val="left"/>
              <w:rPr/>
            </w:pPr>
            <w:r>
              <w:rPr/>
              <w:t> </w:t>
            </w:r>
          </w:p>
        </w:tc>
        <w:tc>
          <w:tcPr>
            <w:tcW w:w="102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 years</w:t>
            </w:r>
          </w:p>
        </w:tc>
        <w:tc>
          <w:tcPr>
            <w:tcW w:w="60" w:type="dxa"/>
            <w:tcBorders/>
            <w:shd w:fill="CCEEFF" w:val="clear"/>
            <w:vAlign w:val="center"/>
          </w:tcPr>
          <w:p>
            <w:pPr>
              <w:pStyle w:val="TableContents"/>
              <w:bidi w:val="0"/>
              <w:spacing w:lineRule="auto" w:line="300" w:before="0" w:after="0"/>
              <w:jc w:val="left"/>
              <w:rPr/>
            </w:pPr>
            <w:r>
              <w:rPr/>
              <w:t> </w:t>
            </w:r>
          </w:p>
        </w:tc>
      </w:tr>
      <w:tr>
        <w:trPr/>
        <w:tc>
          <w:tcPr>
            <w:tcW w:w="37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name</w:t>
            </w:r>
          </w:p>
        </w:tc>
        <w:tc>
          <w:tcPr>
            <w:tcW w:w="60" w:type="dxa"/>
            <w:tcBorders/>
            <w:vAlign w:val="center"/>
          </w:tcPr>
          <w:p>
            <w:pPr>
              <w:pStyle w:val="TableContents"/>
              <w:bidi w:val="0"/>
              <w:spacing w:lineRule="auto" w:line="300" w:before="0" w:after="0"/>
              <w:jc w:val="left"/>
              <w:rPr/>
            </w:pPr>
            <w:r>
              <w:rPr/>
              <w:t> </w:t>
            </w:r>
          </w:p>
        </w:tc>
        <w:tc>
          <w:tcPr>
            <w:tcW w:w="158" w:type="dxa"/>
            <w:tcBorders/>
            <w:vAlign w:val="center"/>
          </w:tcPr>
          <w:p>
            <w:pPr>
              <w:pStyle w:val="TableContents"/>
              <w:bidi w:val="0"/>
              <w:spacing w:lineRule="auto" w:line="300" w:before="0" w:after="0"/>
              <w:jc w:val="left"/>
              <w:rPr/>
            </w:pPr>
            <w:r>
              <w:rPr/>
              <w:t> </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557</w:t>
            </w:r>
          </w:p>
        </w:tc>
        <w:tc>
          <w:tcPr>
            <w:tcW w:w="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pPr>
            <w:r>
              <w:rPr/>
              <w:t> </w:t>
            </w:r>
          </w:p>
        </w:tc>
        <w:tc>
          <w:tcPr>
            <w:tcW w:w="1021"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 years</w:t>
            </w:r>
          </w:p>
        </w:tc>
        <w:tc>
          <w:tcPr>
            <w:tcW w:w="60" w:type="dxa"/>
            <w:tcBorders/>
            <w:vAlign w:val="center"/>
          </w:tcPr>
          <w:p>
            <w:pPr>
              <w:pStyle w:val="TableContents"/>
              <w:bidi w:val="0"/>
              <w:spacing w:lineRule="auto" w:line="300" w:before="0" w:after="0"/>
              <w:jc w:val="left"/>
              <w:rPr/>
            </w:pPr>
            <w:r>
              <w:rPr/>
              <w:t> </w:t>
            </w:r>
          </w:p>
        </w:tc>
      </w:tr>
      <w:tr>
        <w:trPr/>
        <w:tc>
          <w:tcPr>
            <w:tcW w:w="37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lineRule="auto" w:line="300" w:before="0" w:after="0"/>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5,139</w:t>
            </w:r>
          </w:p>
        </w:tc>
        <w:tc>
          <w:tcPr>
            <w:tcW w:w="8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39" w:type="dxa"/>
            <w:tcBorders/>
            <w:shd w:fill="CCEEFF" w:val="clear"/>
            <w:vAlign w:val="center"/>
          </w:tcPr>
          <w:p>
            <w:pPr>
              <w:pStyle w:val="TableContents"/>
              <w:bidi w:val="0"/>
              <w:spacing w:lineRule="auto" w:line="300" w:before="0" w:after="0"/>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r>
      <w:tr>
        <w:trPr/>
        <w:tc>
          <w:tcPr>
            <w:tcW w:w="37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assets acquired</w:t>
            </w:r>
          </w:p>
        </w:tc>
        <w:tc>
          <w:tcPr>
            <w:tcW w:w="60" w:type="dxa"/>
            <w:tcBorders/>
            <w:vAlign w:val="center"/>
          </w:tcPr>
          <w:p>
            <w:pPr>
              <w:pStyle w:val="TableContents"/>
              <w:bidi w:val="0"/>
              <w:spacing w:lineRule="auto" w:line="300" w:before="0" w:after="0"/>
              <w:jc w:val="left"/>
              <w:rPr/>
            </w:pPr>
            <w:r>
              <w:rPr/>
              <w:t> </w:t>
            </w:r>
          </w:p>
        </w:tc>
        <w:tc>
          <w:tcPr>
            <w:tcW w:w="158" w:type="dxa"/>
            <w:tcBorders/>
            <w:vAlign w:val="center"/>
          </w:tcPr>
          <w:p>
            <w:pPr>
              <w:pStyle w:val="TableContents"/>
              <w:bidi w:val="0"/>
              <w:spacing w:lineRule="auto" w:line="300" w:before="0" w:after="0"/>
              <w:jc w:val="left"/>
              <w:rPr/>
            </w:pPr>
            <w:r>
              <w:rPr/>
              <w:t> </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12,594</w:t>
            </w:r>
          </w:p>
        </w:tc>
        <w:tc>
          <w:tcPr>
            <w:tcW w:w="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r>
      <w:tr>
        <w:trPr/>
        <w:tc>
          <w:tcPr>
            <w:tcW w:w="37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revenue and other liabilities assumed</w:t>
            </w:r>
          </w:p>
        </w:tc>
        <w:tc>
          <w:tcPr>
            <w:tcW w:w="60" w:type="dxa"/>
            <w:tcBorders/>
            <w:shd w:fill="CCEEFF" w:val="clear"/>
            <w:vAlign w:val="center"/>
          </w:tcPr>
          <w:p>
            <w:pPr>
              <w:pStyle w:val="TableContents"/>
              <w:bidi w:val="0"/>
              <w:spacing w:lineRule="auto" w:line="300" w:before="0" w:after="0"/>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(3,262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lineRule="auto" w:line="300" w:before="0" w:after="0"/>
              <w:jc w:val="left"/>
              <w:rPr/>
            </w:pPr>
            <w:r>
              <w:rPr/>
              <w:t> </w:t>
            </w:r>
          </w:p>
        </w:tc>
        <w:tc>
          <w:tcPr>
            <w:tcW w:w="139" w:type="dxa"/>
            <w:tcBorders/>
            <w:shd w:fill="CCEEFF" w:val="clear"/>
            <w:vAlign w:val="center"/>
          </w:tcPr>
          <w:p>
            <w:pPr>
              <w:pStyle w:val="TableContents"/>
              <w:bidi w:val="0"/>
              <w:spacing w:lineRule="auto" w:line="300" w:before="0" w:after="0"/>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r>
      <w:tr>
        <w:trPr/>
        <w:tc>
          <w:tcPr>
            <w:tcW w:w="37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assets acquired</w:t>
            </w:r>
          </w:p>
        </w:tc>
        <w:tc>
          <w:tcPr>
            <w:tcW w:w="60" w:type="dxa"/>
            <w:tcBorders/>
            <w:vAlign w:val="center"/>
          </w:tcPr>
          <w:p>
            <w:pPr>
              <w:pStyle w:val="TableContents"/>
              <w:bidi w:val="0"/>
              <w:spacing w:lineRule="auto" w:line="300" w:before="0" w:after="0"/>
              <w:jc w:val="left"/>
              <w:rPr/>
            </w:pPr>
            <w:r>
              <w:rPr/>
              <w:t> </w:t>
            </w:r>
          </w:p>
        </w:tc>
        <w:tc>
          <w:tcPr>
            <w:tcW w:w="158"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9,332</w:t>
            </w:r>
          </w:p>
        </w:tc>
        <w:tc>
          <w:tcPr>
            <w:tcW w:w="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39" w:type="dxa"/>
            <w:tcBorders/>
            <w:vAlign w:val="center"/>
          </w:tcPr>
          <w:p>
            <w:pPr>
              <w:pStyle w:val="TableContents"/>
              <w:bidi w:val="0"/>
              <w:spacing w:lineRule="auto" w:line="300" w:before="0" w:after="0"/>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Company incurred approximately $121 in acquisition expenses for the year ended December 31, 2021 recorded under general and administrative expenses.</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Pro forma results of operations related to this acquisition have not been presented because they are not material to the Company’s consolidated statements of operations.</w:t>
      </w:r>
    </w:p>
    <w:p>
      <w:pPr>
        <w:pStyle w:val="TextBody"/>
        <w:bidi w:val="0"/>
        <w:spacing w:lineRule="auto" w:line="300" w:before="0" w:after="0"/>
        <w:ind w:left="72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- 21</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60"/>
        <w:gridCol w:w="155"/>
        <w:gridCol w:w="201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Stoke Talent acquisition</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November 2021, the Company acquired all the outstanding shares of Stoke Talent Ltd. (“Stoke”) a freelance management system for a cash amount of $93,084. According to the agreement, unvested company options held by continuing employees of Stoke, were terminated, and substituted with a substitute equity award of the Company.</w:t>
      </w:r>
    </w:p>
    <w:p>
      <w:pPr>
        <w:pStyle w:val="TextBody"/>
        <w:bidi w:val="0"/>
        <w:spacing w:lineRule="auto" w:line="300" w:before="0" w:after="0"/>
        <w:ind w:left="45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results of operations of Stoke were consolidated in the Company’s financial statements commencing the date of acquisition.</w:t>
      </w:r>
    </w:p>
    <w:p>
      <w:pPr>
        <w:pStyle w:val="TextBody"/>
        <w:bidi w:val="0"/>
        <w:spacing w:lineRule="auto" w:line="300" w:before="0" w:after="0"/>
        <w:ind w:left="450" w:right="0" w:firstLine="268"/>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agreement stipulated additional contingent payments to shareholders of Stoke in an aggregate amount of up to $15,000 subject to certain milestones to be paid after one year. The fair-value of the contingent consideration as of the acquisition date was $12,258 and measured based on the estimated future cash outflows, utilizing the Monte Carlo simulation. As of December 31, 2021, the liability was recorded under other non-current liabilities. During 2022 the Company reversed the liability since the corresponding milestones were not met.</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summarizes the fair value of the consideration transferred to Stoke shareholders as of the acquisition date:</w:t>
      </w:r>
    </w:p>
    <w:p>
      <w:pPr>
        <w:pStyle w:val="TextBody"/>
        <w:bidi w:val="0"/>
        <w:spacing w:lineRule="auto" w:line="300" w:before="0" w:after="0"/>
        <w:ind w:left="720" w:right="0" w:hanging="0"/>
        <w:jc w:val="both"/>
        <w:rPr/>
      </w:pPr>
      <w:r>
        <w:rPr/>
        <w:t> </w:t>
      </w:r>
    </w:p>
    <w:tbl>
      <w:tblPr>
        <w:tblW w:w="4470" w:type="dxa"/>
        <w:jc w:val="left"/>
        <w:tblInd w:w="720" w:type="dxa"/>
        <w:tblLayout w:type="fixed"/>
        <w:tblCellMar>
          <w:top w:w="0" w:type="dxa"/>
          <w:left w:w="0" w:type="dxa"/>
          <w:bottom w:w="0" w:type="dxa"/>
          <w:right w:w="0" w:type="dxa"/>
        </w:tblCellMar>
      </w:tblPr>
      <w:tblGrid>
        <w:gridCol w:w="3530"/>
        <w:gridCol w:w="60"/>
        <w:gridCol w:w="125"/>
        <w:gridCol w:w="695"/>
        <w:gridCol w:w="60"/>
      </w:tblGrid>
      <w:tr>
        <w:trPr/>
        <w:tc>
          <w:tcPr>
            <w:tcW w:w="35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93,084</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contingent consideration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12,258</w:t>
            </w:r>
          </w:p>
        </w:tc>
        <w:tc>
          <w:tcPr>
            <w:tcW w:w="6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unvested options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fair value of consideration transferred</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105,655</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table below summarizes the fair value of the acquired assets and assumed liabilities and the resulting goodwill as of the acquisition date:</w:t>
      </w:r>
    </w:p>
    <w:p>
      <w:pPr>
        <w:pStyle w:val="TextBody"/>
        <w:bidi w:val="0"/>
        <w:spacing w:lineRule="auto" w:line="300" w:before="0" w:after="0"/>
        <w:ind w:left="720" w:right="0" w:hanging="0"/>
        <w:jc w:val="both"/>
        <w:rPr/>
      </w:pPr>
      <w:r>
        <w:rPr/>
        <w:t> </w:t>
      </w:r>
    </w:p>
    <w:tbl>
      <w:tblPr>
        <w:tblW w:w="4759" w:type="dxa"/>
        <w:jc w:val="left"/>
        <w:tblInd w:w="720" w:type="dxa"/>
        <w:tblLayout w:type="fixed"/>
        <w:tblCellMar>
          <w:top w:w="0" w:type="dxa"/>
          <w:left w:w="0" w:type="dxa"/>
          <w:bottom w:w="0" w:type="dxa"/>
          <w:right w:w="0" w:type="dxa"/>
        </w:tblCellMar>
      </w:tblPr>
      <w:tblGrid>
        <w:gridCol w:w="2435"/>
        <w:gridCol w:w="60"/>
        <w:gridCol w:w="137"/>
        <w:gridCol w:w="767"/>
        <w:gridCol w:w="80"/>
        <w:gridCol w:w="60"/>
        <w:gridCol w:w="139"/>
        <w:gridCol w:w="1021"/>
        <w:gridCol w:w="60"/>
      </w:tblGrid>
      <w:tr>
        <w:trPr/>
        <w:tc>
          <w:tcPr>
            <w:tcW w:w="24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Amortization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period</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tangible assets assumed</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 years</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 years</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name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 years</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Goodwill</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56,367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liabilities assumed</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incurred approximately $97 in acquisition expenses for the year ended December 31, 2021 recorded under general and administrative expenses.</w:t>
      </w:r>
    </w:p>
    <w:p>
      <w:pPr>
        <w:pStyle w:val="TextBody"/>
        <w:bidi w:val="0"/>
        <w:spacing w:lineRule="auto" w:line="300" w:before="0" w:after="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Pro forma results of operations related to this acquisition have not been presented because they are not material to the Company’s consolidated statements of operations.</w:t>
      </w:r>
    </w:p>
    <w:p>
      <w:pPr>
        <w:pStyle w:val="TextBody"/>
        <w:bidi w:val="0"/>
        <w:spacing w:before="0" w:after="0"/>
        <w:ind w:left="0" w:right="0" w:hanging="0"/>
        <w:jc w:val="both"/>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- 22</w:t>
      </w:r>
    </w:p>
    <w:p>
      <w:pPr>
        <w:pStyle w:val="HorizontalLine"/>
        <w:bidi w:val="0"/>
        <w:spacing w:before="0" w:after="0"/>
        <w:jc w:val="both"/>
        <w:rPr/>
      </w:pPr>
      <w:r>
        <w:rPr/>
      </w:r>
    </w:p>
    <w:p>
      <w:pPr>
        <w:pStyle w:val="TextBody"/>
        <w:bidi w:val="0"/>
        <w:spacing w:before="0" w:after="0"/>
        <w:jc w:val="both"/>
        <w:rPr/>
      </w:pPr>
      <w:r>
        <w:rPr/>
        <w:t> </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4: - Fair value of financial instruments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fair value of the Company’s financial assets and liabilities measured at fair value as of:</w:t>
      </w:r>
    </w:p>
    <w:p>
      <w:pPr>
        <w:pStyle w:val="TextBody"/>
        <w:bidi w:val="0"/>
        <w:spacing w:lineRule="auto" w:line="300" w:before="0" w:after="0"/>
        <w:jc w:val="left"/>
        <w:rPr/>
      </w:pPr>
      <w:r>
        <w:rPr/>
        <w:t> </w:t>
      </w:r>
    </w:p>
    <w:tbl>
      <w:tblPr>
        <w:tblW w:w="9049" w:type="dxa"/>
        <w:jc w:val="left"/>
        <w:tblInd w:w="720" w:type="dxa"/>
        <w:tblLayout w:type="fixed"/>
        <w:tblCellMar>
          <w:top w:w="0" w:type="dxa"/>
          <w:left w:w="0" w:type="dxa"/>
          <w:bottom w:w="0" w:type="dxa"/>
          <w:right w:w="0" w:type="dxa"/>
        </w:tblCellMar>
      </w:tblPr>
      <w:tblGrid>
        <w:gridCol w:w="6380"/>
        <w:gridCol w:w="60"/>
        <w:gridCol w:w="125"/>
        <w:gridCol w:w="695"/>
        <w:gridCol w:w="60"/>
        <w:gridCol w:w="60"/>
        <w:gridCol w:w="125"/>
        <w:gridCol w:w="695"/>
        <w:gridCol w:w="80"/>
        <w:gridCol w:w="60"/>
        <w:gridCol w:w="395"/>
        <w:gridCol w:w="254"/>
        <w:gridCol w:w="60"/>
      </w:tblGrid>
      <w:tr>
        <w:trPr/>
        <w:tc>
          <w:tcPr>
            <w:tcW w:w="63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549"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Level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Level 3</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Money market fund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Bank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476,138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 derivatives (located in other receivables)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Liability derivatives (located in other account payables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top w:val="single" w:sz="12" w:space="0" w:color="000000"/>
              <w:bottom w:val="single" w:sz="12" w:space="0" w:color="000000"/>
            </w:tcBorders>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12" w:space="0" w:color="000000"/>
              <w:bottom w:val="single" w:sz="12" w:space="0" w:color="000000"/>
            </w:tcBorders>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270,866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top w:val="single" w:sz="12" w:space="0" w:color="000000"/>
              <w:bottom w:val="single" w:sz="12" w:space="0" w:color="000000"/>
            </w:tcBorders>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12" w:space="0" w:color="000000"/>
              <w:bottom w:val="single" w:sz="12" w:space="0" w:color="000000"/>
            </w:tcBorders>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477,022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top w:val="single" w:sz="12" w:space="0" w:color="000000"/>
              <w:bottom w:val="single" w:sz="12" w:space="0" w:color="000000"/>
            </w:tcBorders>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54" w:type="dxa"/>
            <w:tcBorders>
              <w:top w:val="single" w:sz="12" w:space="0" w:color="000000"/>
              <w:bottom w:val="single" w:sz="12" w:space="0" w:color="000000"/>
            </w:tcBorders>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9049" w:type="dxa"/>
        <w:jc w:val="left"/>
        <w:tblInd w:w="720" w:type="dxa"/>
        <w:tblLayout w:type="fixed"/>
        <w:tblCellMar>
          <w:top w:w="0" w:type="dxa"/>
          <w:left w:w="0" w:type="dxa"/>
          <w:bottom w:w="0" w:type="dxa"/>
          <w:right w:w="0" w:type="dxa"/>
        </w:tblCellMar>
      </w:tblPr>
      <w:tblGrid>
        <w:gridCol w:w="6380"/>
        <w:gridCol w:w="60"/>
        <w:gridCol w:w="125"/>
        <w:gridCol w:w="695"/>
        <w:gridCol w:w="60"/>
        <w:gridCol w:w="60"/>
        <w:gridCol w:w="125"/>
        <w:gridCol w:w="695"/>
        <w:gridCol w:w="80"/>
        <w:gridCol w:w="60"/>
        <w:gridCol w:w="395"/>
        <w:gridCol w:w="254"/>
        <w:gridCol w:w="60"/>
      </w:tblGrid>
      <w:tr>
        <w:trPr/>
        <w:tc>
          <w:tcPr>
            <w:tcW w:w="63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549"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Level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Level 3</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Money market funds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ind w:left="0" w:right="0" w:firstLine="160"/>
              <w:jc w:val="left"/>
              <w:rPr>
                <w:rFonts w:ascii="Times New Roman;Times;serif" w:hAnsi="Times New Roman;Times;serif"/>
                <w:sz w:val="20"/>
              </w:rPr>
            </w:pPr>
            <w:r>
              <w:rPr>
                <w:rFonts w:ascii="Times New Roman;Times;serif" w:hAnsi="Times New Roman;Times;serif"/>
                <w:sz w:val="20"/>
              </w:rPr>
              <w:t>Bank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Bank 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431,132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 derivatives (located in other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Liability derivatives (located in other account payables and accrued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429,748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54"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fair value of other financial instruments included in working capital and other non-current assets and liabilities approximate their carrying value.</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As of December 31, 2023, the total estimated fair value of the convertible notes was approximately $405,950. The fair value of the convertible notes is considered to be Level 2 within the fair value hierarchy and was determined based on the quoted price of the convertible notes in an over-the-counter market.</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 - Marketable securities</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As of December 31, 2023, the amortized cost, unrealized holding gains and losses and fair value of marketable securities were as follows:</w:t>
      </w:r>
    </w:p>
    <w:p>
      <w:pPr>
        <w:pStyle w:val="TextBody"/>
        <w:bidi w:val="0"/>
        <w:spacing w:lineRule="auto" w:line="300" w:before="0" w:after="0"/>
        <w:jc w:val="left"/>
        <w:rPr/>
      </w:pPr>
      <w:r>
        <w:rPr/>
        <w:t> </w:t>
      </w:r>
    </w:p>
    <w:tbl>
      <w:tblPr>
        <w:tblW w:w="8309" w:type="dxa"/>
        <w:jc w:val="left"/>
        <w:tblInd w:w="720" w:type="dxa"/>
        <w:tblLayout w:type="fixed"/>
        <w:tblCellMar>
          <w:top w:w="0" w:type="dxa"/>
          <w:left w:w="0" w:type="dxa"/>
          <w:bottom w:w="0" w:type="dxa"/>
          <w:right w:w="0" w:type="dxa"/>
        </w:tblCellMar>
      </w:tblPr>
      <w:tblGrid>
        <w:gridCol w:w="4055"/>
        <w:gridCol w:w="60"/>
        <w:gridCol w:w="140"/>
        <w:gridCol w:w="780"/>
        <w:gridCol w:w="60"/>
        <w:gridCol w:w="60"/>
        <w:gridCol w:w="194"/>
        <w:gridCol w:w="756"/>
        <w:gridCol w:w="60"/>
        <w:gridCol w:w="60"/>
        <w:gridCol w:w="177"/>
        <w:gridCol w:w="773"/>
        <w:gridCol w:w="80"/>
        <w:gridCol w:w="60"/>
        <w:gridCol w:w="142"/>
        <w:gridCol w:w="792"/>
        <w:gridCol w:w="60"/>
      </w:tblGrid>
      <w:tr>
        <w:trPr/>
        <w:tc>
          <w:tcPr>
            <w:tcW w:w="40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U.S. Treasury and other U.S. government agencies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99,242</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Corporate bonds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377,991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376,896</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477,736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476,138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As of December 31, 2022, the amortized cost, unrealized holding gains and losses and fair value of marketable securities were as follows:</w:t>
      </w:r>
    </w:p>
    <w:p>
      <w:pPr>
        <w:pStyle w:val="TextBody"/>
        <w:bidi w:val="0"/>
        <w:spacing w:lineRule="auto" w:line="300" w:before="0" w:after="0"/>
        <w:jc w:val="left"/>
        <w:rPr/>
      </w:pPr>
      <w:r>
        <w:rPr/>
        <w:t> </w:t>
      </w:r>
    </w:p>
    <w:tbl>
      <w:tblPr>
        <w:tblW w:w="8309" w:type="dxa"/>
        <w:jc w:val="left"/>
        <w:tblInd w:w="720" w:type="dxa"/>
        <w:tblLayout w:type="fixed"/>
        <w:tblCellMar>
          <w:top w:w="0" w:type="dxa"/>
          <w:left w:w="0" w:type="dxa"/>
          <w:bottom w:w="0" w:type="dxa"/>
          <w:right w:w="0" w:type="dxa"/>
        </w:tblCellMar>
      </w:tblPr>
      <w:tblGrid>
        <w:gridCol w:w="4055"/>
        <w:gridCol w:w="60"/>
        <w:gridCol w:w="140"/>
        <w:gridCol w:w="780"/>
        <w:gridCol w:w="60"/>
        <w:gridCol w:w="60"/>
        <w:gridCol w:w="475"/>
        <w:gridCol w:w="475"/>
        <w:gridCol w:w="60"/>
        <w:gridCol w:w="60"/>
        <w:gridCol w:w="153"/>
        <w:gridCol w:w="797"/>
        <w:gridCol w:w="80"/>
        <w:gridCol w:w="60"/>
        <w:gridCol w:w="142"/>
        <w:gridCol w:w="792"/>
        <w:gridCol w:w="60"/>
      </w:tblGrid>
      <w:tr>
        <w:trPr/>
        <w:tc>
          <w:tcPr>
            <w:tcW w:w="40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U.S. Treasury and other U.S. government agencies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74,448</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Corporate bonds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364,904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tcBorders>
              <w:bottom w:val="single" w:sz="12" w:space="0" w:color="000000"/>
            </w:tcBorders>
            <w:tcMar>
              <w:bottom w:w="28" w:type="dxa"/>
            </w:tcMar>
            <w:vAlign w:val="center"/>
          </w:tcPr>
          <w:p>
            <w:pPr>
              <w:pStyle w:val="TableContents"/>
              <w:bidi w:val="0"/>
              <w:spacing w:before="0" w:after="283"/>
              <w:jc w:val="left"/>
              <w:rPr/>
            </w:pPr>
            <w:r>
              <w:rPr/>
              <w:t> </w:t>
            </w:r>
          </w:p>
        </w:tc>
        <w:tc>
          <w:tcPr>
            <w:tcW w:w="4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79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356,684</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441,909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(10,786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431,132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following table summarizes the fair value and amortized cost of the available-for-sale securities by contractual maturity as of December 31, 2023:</w:t>
      </w:r>
    </w:p>
    <w:p>
      <w:pPr>
        <w:pStyle w:val="TextBody"/>
        <w:bidi w:val="0"/>
        <w:spacing w:lineRule="auto" w:line="300" w:before="0" w:after="0"/>
        <w:jc w:val="left"/>
        <w:rPr/>
      </w:pPr>
      <w:r>
        <w:rPr/>
        <w:t> </w:t>
      </w:r>
    </w:p>
    <w:tbl>
      <w:tblPr>
        <w:tblW w:w="5084" w:type="dxa"/>
        <w:jc w:val="left"/>
        <w:tblInd w:w="720" w:type="dxa"/>
        <w:tblLayout w:type="fixed"/>
        <w:tblCellMar>
          <w:top w:w="0" w:type="dxa"/>
          <w:left w:w="0" w:type="dxa"/>
          <w:bottom w:w="0" w:type="dxa"/>
          <w:right w:w="0" w:type="dxa"/>
        </w:tblCellMar>
      </w:tblPr>
      <w:tblGrid>
        <w:gridCol w:w="2990"/>
        <w:gridCol w:w="60"/>
        <w:gridCol w:w="140"/>
        <w:gridCol w:w="780"/>
        <w:gridCol w:w="60"/>
        <w:gridCol w:w="60"/>
        <w:gridCol w:w="142"/>
        <w:gridCol w:w="792"/>
        <w:gridCol w:w="60"/>
      </w:tblGrid>
      <w:tr>
        <w:trPr/>
        <w:tc>
          <w:tcPr>
            <w:tcW w:w="29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147,806</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Due after one year through two years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328,548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328,332</w:t>
            </w:r>
          </w:p>
        </w:tc>
        <w:tc>
          <w:tcPr>
            <w:tcW w:w="6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477,736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476,138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jc w:val="left"/>
        <w:rPr>
          <w:rFonts w:ascii="Times New Roman;Times;serif" w:hAnsi="Times New Roman;Times;serif"/>
          <w:b/>
          <w:sz w:val="20"/>
        </w:rPr>
      </w:pPr>
      <w:r>
        <w:rPr>
          <w:rFonts w:ascii="Times New Roman;Times;serif" w:hAnsi="Times New Roman;Times;serif"/>
          <w:b/>
          <w:sz w:val="20"/>
        </w:rPr>
        <w:t>Note 6: - Property and equipment, net</w:t>
      </w:r>
    </w:p>
    <w:p>
      <w:pPr>
        <w:pStyle w:val="TextBody"/>
        <w:bidi w:val="0"/>
        <w:spacing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Property and equipment, net consisted of the following as of:</w:t>
      </w:r>
    </w:p>
    <w:p>
      <w:pPr>
        <w:pStyle w:val="TextBody"/>
        <w:bidi w:val="0"/>
        <w:spacing w:lineRule="auto" w:line="300" w:before="0" w:after="0"/>
        <w:jc w:val="left"/>
        <w:rPr/>
      </w:pPr>
      <w:r>
        <w:rPr/>
        <w:t> </w:t>
      </w:r>
    </w:p>
    <w:tbl>
      <w:tblPr>
        <w:tblW w:w="4745" w:type="dxa"/>
        <w:jc w:val="left"/>
        <w:tblInd w:w="720" w:type="dxa"/>
        <w:tblLayout w:type="fixed"/>
        <w:tblCellMar>
          <w:top w:w="0" w:type="dxa"/>
          <w:left w:w="0" w:type="dxa"/>
          <w:bottom w:w="0" w:type="dxa"/>
          <w:right w:w="0" w:type="dxa"/>
        </w:tblCellMar>
      </w:tblPr>
      <w:tblGrid>
        <w:gridCol w:w="3035"/>
        <w:gridCol w:w="60"/>
        <w:gridCol w:w="125"/>
        <w:gridCol w:w="590"/>
        <w:gridCol w:w="80"/>
        <w:gridCol w:w="60"/>
        <w:gridCol w:w="125"/>
        <w:gridCol w:w="590"/>
        <w:gridCol w:w="80"/>
      </w:tblGrid>
      <w:tr>
        <w:trPr/>
        <w:tc>
          <w:tcPr>
            <w:tcW w:w="30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6,271</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Computers and peripheral equipment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5,986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5,431</w:t>
            </w:r>
          </w:p>
        </w:tc>
        <w:tc>
          <w:tcPr>
            <w:tcW w:w="8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1,563</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13,265</w:t>
            </w:r>
          </w:p>
        </w:tc>
        <w:tc>
          <w:tcPr>
            <w:tcW w:w="8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(7,605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5,660</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Depreciation expenses were $1,879, $2,032 and $1,739 for the years ended December 31, 2023, 2022 and 2021, respectively.</w:t>
      </w:r>
    </w:p>
    <w:p>
      <w:pPr>
        <w:pStyle w:val="TextBody"/>
        <w:bidi w:val="0"/>
        <w:spacing w:before="0" w:after="0"/>
        <w:ind w:left="0" w:right="0" w:hanging="0"/>
        <w:jc w:val="left"/>
        <w:rPr/>
      </w:pPr>
      <w:r>
        <w:rPr/>
        <w:t> </w:t>
      </w:r>
    </w:p>
    <w:p>
      <w:pPr>
        <w:pStyle w:val="TextBody"/>
        <w:bidi w:val="0"/>
        <w:spacing w:before="0" w:after="0"/>
        <w:jc w:val="left"/>
        <w:rPr/>
      </w:pPr>
      <w:r>
        <w:rPr>
          <w:rStyle w:val="StrongEmphasis"/>
          <w:rFonts w:ascii="Times New Roman;Times;serif" w:hAnsi="Times New Roman;Times;serif"/>
          <w:sz w:val="20"/>
        </w:rPr>
        <w:t>Note 7: - Intangible assets, net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gross carrying amount of intangible assets net of impairment, net consisted of the following as of:</w:t>
      </w:r>
    </w:p>
    <w:p>
      <w:pPr>
        <w:pStyle w:val="TextBody"/>
        <w:bidi w:val="0"/>
        <w:spacing w:lineRule="auto" w:line="300" w:before="0" w:after="0"/>
        <w:jc w:val="left"/>
        <w:rPr/>
      </w:pPr>
      <w:r>
        <w:rPr/>
        <w:t> </w:t>
      </w:r>
    </w:p>
    <w:tbl>
      <w:tblPr>
        <w:tblW w:w="5795" w:type="dxa"/>
        <w:jc w:val="left"/>
        <w:tblInd w:w="720" w:type="dxa"/>
        <w:tblLayout w:type="fixed"/>
        <w:tblCellMar>
          <w:top w:w="0" w:type="dxa"/>
          <w:left w:w="0" w:type="dxa"/>
          <w:bottom w:w="0" w:type="dxa"/>
          <w:right w:w="0" w:type="dxa"/>
        </w:tblCellMar>
      </w:tblPr>
      <w:tblGrid>
        <w:gridCol w:w="3965"/>
        <w:gridCol w:w="60"/>
        <w:gridCol w:w="125"/>
        <w:gridCol w:w="650"/>
        <w:gridCol w:w="80"/>
        <w:gridCol w:w="60"/>
        <w:gridCol w:w="125"/>
        <w:gridCol w:w="650"/>
        <w:gridCol w:w="80"/>
      </w:tblGrid>
      <w:tr>
        <w:trPr/>
        <w:tc>
          <w:tcPr>
            <w:tcW w:w="396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15,778</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Capitalized internal-use software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5,842</w:t>
            </w:r>
          </w:p>
        </w:tc>
        <w:tc>
          <w:tcPr>
            <w:tcW w:w="8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4,335</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Creative relationships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4,252</w:t>
            </w:r>
          </w:p>
        </w:tc>
        <w:tc>
          <w:tcPr>
            <w:tcW w:w="8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name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2,035</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Courses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890</w:t>
            </w:r>
          </w:p>
        </w:tc>
        <w:tc>
          <w:tcPr>
            <w:tcW w:w="8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Workforce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1,250</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34,442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34,382</w:t>
            </w:r>
          </w:p>
        </w:tc>
        <w:tc>
          <w:tcPr>
            <w:tcW w:w="8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 Accumulated amortization and impairment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(23,720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(19,612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14,770</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connection with internal-use software, the Company capitalized $0, $953 and $1,261 for the years ended December 31, 2023, 2022 and 2021, respectively. The capitalized amount included share-based compensation of $0, $274 and $247 for the years ended December 31, 2023, 2022 and 2021, respectively.</w:t>
      </w:r>
    </w:p>
    <w:p>
      <w:pPr>
        <w:pStyle w:val="TextBody"/>
        <w:bidi w:val="0"/>
        <w:spacing w:lineRule="auto" w:line="300" w:before="0" w:after="0"/>
        <w:jc w:val="both"/>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- 25</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Amortization expenses amounted to $4,108, $8,153 and $5,137 for the years ended December 31, 2023, 2022 and 2021, respectively.</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year ended December 31, 2022 Creative Live acquired additional courses in the amount of $175.</w:t>
      </w:r>
    </w:p>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estimated future amortization of intangible assets as of December 31, 2023 was as follows:</w:t>
      </w:r>
    </w:p>
    <w:p>
      <w:pPr>
        <w:pStyle w:val="TextBody"/>
        <w:bidi w:val="0"/>
        <w:spacing w:lineRule="auto" w:line="300" w:before="0" w:after="0"/>
        <w:jc w:val="left"/>
        <w:rPr/>
      </w:pPr>
      <w:r>
        <w:rPr/>
        <w:t> </w:t>
      </w:r>
    </w:p>
    <w:tbl>
      <w:tblPr>
        <w:tblW w:w="2430" w:type="dxa"/>
        <w:jc w:val="left"/>
        <w:tblInd w:w="720" w:type="dxa"/>
        <w:tblLayout w:type="fixed"/>
        <w:tblCellMar>
          <w:top w:w="0" w:type="dxa"/>
          <w:left w:w="0" w:type="dxa"/>
          <w:bottom w:w="0" w:type="dxa"/>
          <w:right w:w="0" w:type="dxa"/>
        </w:tblCellMar>
      </w:tblPr>
      <w:tblGrid>
        <w:gridCol w:w="1595"/>
        <w:gridCol w:w="60"/>
        <w:gridCol w:w="125"/>
        <w:gridCol w:w="590"/>
        <w:gridCol w:w="60"/>
      </w:tblGrid>
      <w:tr>
        <w:trPr/>
        <w:tc>
          <w:tcPr>
            <w:tcW w:w="15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2,426</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2,057</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1,909</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1,883</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2028 and 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2,447</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10,722</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283"/>
        <w:jc w:val="left"/>
        <w:rPr>
          <w:rFonts w:ascii="Times New Roman;Times;serif" w:hAnsi="Times New Roman;Times;serif"/>
          <w:b/>
          <w:sz w:val="20"/>
        </w:rPr>
      </w:pPr>
      <w:r>
        <w:rPr>
          <w:rFonts w:ascii="Times New Roman;Times;serif" w:hAnsi="Times New Roman;Times;serif"/>
          <w:b/>
          <w:sz w:val="20"/>
        </w:rPr>
        <w:t>Note 8: - Derivatives and hedging</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sz w:val="20"/>
        </w:rPr>
      </w:pPr>
      <w:r>
        <w:rPr>
          <w:rFonts w:ascii="Times New Roman;Times;serif" w:hAnsi="Times New Roman;Times;serif"/>
          <w:sz w:val="20"/>
        </w:rPr>
        <w:t>The Company had outstanding contracts designated as hedging instruments in the aggregate notional amount of $55,000 and $64,000 as of December 31, 2023 and 2022, respectively.</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fair value of the Company’s outstanding contracts amounted to an asset of $971 and a liability of $87 as of December 31, 2023, and an asset of $60 and a liability of $1,444 as of December 31, 2022.</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These assets and liabilities were recorded under other receivables and other account payables and accrued expenses respectively.</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Losses of $4,085 and $4,082, and gains of $1,160 were reclassified from accumulated other comprehensive loss (income) during the years ended December 31, 2023, 2022 and 2021, respectively.</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Such gains and losses were reclassified from accumulated other comprehensive loss when the related expenses were incurred. These gains and losses were recorded in the consolidated statements of operations were as follows for the years ended:</w:t>
      </w:r>
    </w:p>
    <w:p>
      <w:pPr>
        <w:pStyle w:val="TextBody"/>
        <w:bidi w:val="0"/>
        <w:spacing w:before="0" w:after="0"/>
        <w:ind w:left="0" w:right="0" w:hanging="0"/>
        <w:jc w:val="left"/>
        <w:rPr/>
      </w:pPr>
      <w:r>
        <w:rPr/>
        <w:t> </w:t>
      </w:r>
    </w:p>
    <w:tbl>
      <w:tblPr>
        <w:tblW w:w="4480" w:type="dxa"/>
        <w:jc w:val="left"/>
        <w:tblInd w:w="720" w:type="dxa"/>
        <w:tblLayout w:type="fixed"/>
        <w:tblCellMar>
          <w:top w:w="0" w:type="dxa"/>
          <w:left w:w="0" w:type="dxa"/>
          <w:bottom w:w="0" w:type="dxa"/>
          <w:right w:w="0" w:type="dxa"/>
        </w:tblCellMar>
      </w:tblPr>
      <w:tblGrid>
        <w:gridCol w:w="2210"/>
        <w:gridCol w:w="60"/>
        <w:gridCol w:w="125"/>
        <w:gridCol w:w="485"/>
        <w:gridCol w:w="60"/>
        <w:gridCol w:w="60"/>
        <w:gridCol w:w="125"/>
        <w:gridCol w:w="485"/>
        <w:gridCol w:w="60"/>
        <w:gridCol w:w="60"/>
        <w:gridCol w:w="125"/>
        <w:gridCol w:w="545"/>
        <w:gridCol w:w="80"/>
      </w:tblGrid>
      <w:tr>
        <w:trPr/>
        <w:tc>
          <w:tcPr>
            <w:tcW w:w="22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13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left"/>
        <w:rPr/>
      </w:pPr>
      <w:r>
        <w:rPr/>
        <w:t> </w:t>
      </w:r>
    </w:p>
    <w:p>
      <w:pPr>
        <w:pStyle w:val="TextBody"/>
        <w:bidi w:val="0"/>
        <w:ind w:left="720" w:right="0" w:hanging="0"/>
        <w:jc w:val="left"/>
        <w:rPr>
          <w:sz w:val="20"/>
        </w:rPr>
      </w:pPr>
      <w:r>
        <w:rPr>
          <w:rFonts w:ascii="Times New Roman;Times;serif" w:hAnsi="Times New Roman;Times;serif"/>
          <w:sz w:val="20"/>
        </w:rPr>
        <w:t>In addition, for the years ended December 31, 2023 and 2022 losses of $395 and $875, respectively, were reclassified from other comprehensive loss to financial income (expenses), net in connection with forecasted transactions not probable of occurring.</w:t>
      </w:r>
      <w:r>
        <w:rPr>
          <w:sz w:val="20"/>
        </w:rPr>
        <w:t xml:space="preserve"> </w:t>
      </w:r>
    </w:p>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9: - Other account payables and accrued expenses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Other payable and accrued expenses consisted of the following as of:</w:t>
      </w:r>
    </w:p>
    <w:p>
      <w:pPr>
        <w:pStyle w:val="TextBody"/>
        <w:bidi w:val="0"/>
        <w:spacing w:lineRule="auto" w:line="300" w:before="0" w:after="0"/>
        <w:jc w:val="left"/>
        <w:rPr/>
      </w:pPr>
      <w:r>
        <w:rPr/>
        <w:t> </w:t>
      </w:r>
    </w:p>
    <w:tbl>
      <w:tblPr>
        <w:tblW w:w="9370" w:type="dxa"/>
        <w:jc w:val="left"/>
        <w:tblInd w:w="720" w:type="dxa"/>
        <w:tblLayout w:type="fixed"/>
        <w:tblCellMar>
          <w:top w:w="0" w:type="dxa"/>
          <w:left w:w="0" w:type="dxa"/>
          <w:bottom w:w="0" w:type="dxa"/>
          <w:right w:w="0" w:type="dxa"/>
        </w:tblCellMar>
      </w:tblPr>
      <w:tblGrid>
        <w:gridCol w:w="7700"/>
        <w:gridCol w:w="60"/>
        <w:gridCol w:w="125"/>
        <w:gridCol w:w="590"/>
        <w:gridCol w:w="60"/>
        <w:gridCol w:w="60"/>
        <w:gridCol w:w="125"/>
        <w:gridCol w:w="590"/>
        <w:gridCol w:w="60"/>
      </w:tblGrid>
      <w:tr>
        <w:trPr/>
        <w:tc>
          <w:tcPr>
            <w:tcW w:w="77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Accrued expenses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24,859</w:t>
            </w:r>
          </w:p>
        </w:tc>
        <w:tc>
          <w:tcPr>
            <w:tcW w:w="6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sz w:val="20"/>
              </w:rPr>
              <w:t>Accrued payroll and government authorities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14,705</w:t>
            </w:r>
          </w:p>
        </w:tc>
        <w:tc>
          <w:tcPr>
            <w:tcW w:w="6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Tax withholding in connection with employees’ exercises of share options and vested RSUs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320</w:t>
            </w:r>
          </w:p>
        </w:tc>
        <w:tc>
          <w:tcPr>
            <w:tcW w:w="6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Derivatives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1,444</w:t>
            </w:r>
          </w:p>
        </w:tc>
        <w:tc>
          <w:tcPr>
            <w:tcW w:w="6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41,328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10: - Leases</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leases office spaces under non-cancellable operating lease agreements in Israel and the U.S. The initial term for the operating lease of the Company’s office space in Israel was until December 2021, however, the Company utilized a five-year renewal option such that the agreement will expire in December 2026. The operating lease for the office space in the U.S expires in June 2025 and has no renewal option. The Company subleases a portion of its Israel office space.</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components of operating lease cost recorded under operating expenses for the year ended December 31, 2023, 2022 and 2021 were as follows:</w:t>
      </w:r>
    </w:p>
    <w:p>
      <w:pPr>
        <w:pStyle w:val="TextBody"/>
        <w:bidi w:val="0"/>
        <w:spacing w:lineRule="auto" w:line="300" w:before="0" w:after="0"/>
        <w:jc w:val="left"/>
        <w:rPr/>
      </w:pPr>
      <w:r>
        <w:rPr/>
        <w:t> </w:t>
      </w:r>
    </w:p>
    <w:tbl>
      <w:tblPr>
        <w:tblW w:w="6605" w:type="dxa"/>
        <w:jc w:val="left"/>
        <w:tblInd w:w="720" w:type="dxa"/>
        <w:tblLayout w:type="fixed"/>
        <w:tblCellMar>
          <w:top w:w="0" w:type="dxa"/>
          <w:left w:w="0" w:type="dxa"/>
          <w:bottom w:w="0" w:type="dxa"/>
          <w:right w:w="0" w:type="dxa"/>
        </w:tblCellMar>
      </w:tblPr>
      <w:tblGrid>
        <w:gridCol w:w="4295"/>
        <w:gridCol w:w="60"/>
        <w:gridCol w:w="125"/>
        <w:gridCol w:w="545"/>
        <w:gridCol w:w="80"/>
        <w:gridCol w:w="60"/>
        <w:gridCol w:w="125"/>
        <w:gridCol w:w="485"/>
        <w:gridCol w:w="80"/>
        <w:gridCol w:w="60"/>
        <w:gridCol w:w="125"/>
        <w:gridCol w:w="485"/>
        <w:gridCol w:w="80"/>
      </w:tblGrid>
      <w:tr>
        <w:trPr/>
        <w:tc>
          <w:tcPr>
            <w:tcW w:w="42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170" w:type="dxa"/>
            <w:gridSpan w:val="10"/>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sz w:val="20"/>
              </w:rPr>
              <w:t>December 31,</w:t>
            </w:r>
          </w:p>
        </w:tc>
        <w:tc>
          <w:tcPr>
            <w:tcW w:w="8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Fixed cost and variable cost that depend on an index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3,258</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180" w:right="0" w:hanging="173"/>
              <w:jc w:val="left"/>
              <w:rPr>
                <w:rFonts w:ascii="Times New Roman;Times;serif" w:hAnsi="Times New Roman;Times;serif"/>
                <w:sz w:val="20"/>
              </w:rPr>
            </w:pPr>
            <w:r>
              <w:rPr>
                <w:rFonts w:ascii="Times New Roman;Times;serif" w:hAnsi="Times New Roman;Times;serif"/>
                <w:sz w:val="20"/>
              </w:rPr>
              <w:t>Impairment of lease ROU asset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180" w:right="0" w:hanging="173"/>
              <w:jc w:val="left"/>
              <w:rPr>
                <w:rFonts w:ascii="Times New Roman;Times;serif" w:hAnsi="Times New Roman;Times;serif"/>
                <w:sz w:val="20"/>
              </w:rPr>
            </w:pPr>
            <w:r>
              <w:rPr>
                <w:rFonts w:ascii="Times New Roman;Times;serif" w:hAnsi="Times New Roman;Times;serif"/>
                <w:sz w:val="20"/>
              </w:rPr>
              <w:t>Short term lease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Sublease income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280" w:type="dxa"/>
        <w:jc w:val="left"/>
        <w:tblInd w:w="720" w:type="dxa"/>
        <w:tblLayout w:type="fixed"/>
        <w:tblCellMar>
          <w:top w:w="0" w:type="dxa"/>
          <w:left w:w="0" w:type="dxa"/>
          <w:bottom w:w="0" w:type="dxa"/>
          <w:right w:w="0" w:type="dxa"/>
        </w:tblCellMar>
      </w:tblPr>
      <w:tblGrid>
        <w:gridCol w:w="5255"/>
        <w:gridCol w:w="60"/>
        <w:gridCol w:w="60"/>
        <w:gridCol w:w="845"/>
        <w:gridCol w:w="60"/>
      </w:tblGrid>
      <w:tr>
        <w:trPr/>
        <w:tc>
          <w:tcPr>
            <w:tcW w:w="52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remaining lease term as of December 31, 2023</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84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2.89 years</w:t>
            </w:r>
          </w:p>
        </w:tc>
        <w:tc>
          <w:tcPr>
            <w:tcW w:w="60" w:type="dxa"/>
            <w:tcBorders/>
            <w:shd w:fill="CCEEFF" w:val="clear"/>
            <w:vAlign w:val="center"/>
          </w:tcPr>
          <w:p>
            <w:pPr>
              <w:pStyle w:val="TableContents"/>
              <w:bidi w:val="0"/>
              <w:spacing w:lineRule="auto" w:line="300" w:before="0" w:after="0"/>
              <w:jc w:val="left"/>
              <w:rPr/>
            </w:pPr>
            <w:r>
              <w:rPr/>
              <w:t> </w:t>
            </w:r>
          </w:p>
        </w:tc>
      </w:tr>
      <w:tr>
        <w:trPr/>
        <w:tc>
          <w:tcPr>
            <w:tcW w:w="52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discount rate</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84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2.59%</w:t>
            </w:r>
          </w:p>
        </w:tc>
        <w:tc>
          <w:tcPr>
            <w:tcW w:w="60"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Cash payments related to operating lease liabilities for the years ended December 31, 2023, 2022 and 2021, were $3,374, $ 3,624, and $ 3,855, respectively</w:t>
      </w:r>
    </w:p>
    <w:p>
      <w:pPr>
        <w:pStyle w:val="TextBody"/>
        <w:bidi w:val="0"/>
        <w:spacing w:before="0" w:after="0"/>
        <w:ind w:left="80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minimum lease payments for the Company’s ROU assets over the remaining lease periods as of December 31, 2023, were as follows:</w:t>
      </w:r>
    </w:p>
    <w:p>
      <w:pPr>
        <w:pStyle w:val="TextBody"/>
        <w:bidi w:val="0"/>
        <w:spacing w:lineRule="auto" w:line="300" w:before="0" w:after="0"/>
        <w:jc w:val="left"/>
        <w:rPr/>
      </w:pPr>
      <w:r>
        <w:rPr/>
        <w:t> </w:t>
      </w:r>
    </w:p>
    <w:tbl>
      <w:tblPr>
        <w:tblW w:w="3635" w:type="dxa"/>
        <w:jc w:val="left"/>
        <w:tblInd w:w="720" w:type="dxa"/>
        <w:tblLayout w:type="fixed"/>
        <w:tblCellMar>
          <w:top w:w="0" w:type="dxa"/>
          <w:left w:w="0" w:type="dxa"/>
          <w:bottom w:w="0" w:type="dxa"/>
          <w:right w:w="0" w:type="dxa"/>
        </w:tblCellMar>
      </w:tblPr>
      <w:tblGrid>
        <w:gridCol w:w="2885"/>
        <w:gridCol w:w="60"/>
        <w:gridCol w:w="125"/>
        <w:gridCol w:w="485"/>
        <w:gridCol w:w="80"/>
      </w:tblGrid>
      <w:tr>
        <w:trPr/>
        <w:tc>
          <w:tcPr>
            <w:tcW w:w="28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2,544</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2,349</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2,208</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2027 and after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undiscounted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7,101</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jc w:val="left"/>
        <w:rPr>
          <w:rFonts w:ascii="Times New Roman;Times;serif" w:hAnsi="Times New Roman;Times;serif"/>
          <w:b/>
          <w:sz w:val="20"/>
        </w:rPr>
      </w:pPr>
      <w:r>
        <w:rPr>
          <w:rFonts w:ascii="Times New Roman;Times;serif" w:hAnsi="Times New Roman;Times;serif"/>
          <w:b/>
          <w:sz w:val="20"/>
        </w:rPr>
        <w:t>Note 11: - Commitments and contingencies</w:t>
      </w:r>
    </w:p>
    <w:p>
      <w:pPr>
        <w:pStyle w:val="TextBody"/>
        <w:bidi w:val="0"/>
        <w:spacing w:before="0" w:after="0"/>
        <w:ind w:left="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From time to time, the Company may be involved in various claims and legal proceedings.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As of December 31, 2023 and 2022, the Company is not involved in any material claims or legal proceedings which require accrual of liability for the estimated loss.</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12: - Convertible notes</w:t>
      </w:r>
    </w:p>
    <w:p>
      <w:pPr>
        <w:pStyle w:val="TextBody"/>
        <w:bidi w:val="0"/>
        <w:spacing w:lineRule="auto" w:line="300" w:before="0" w:after="0"/>
        <w:jc w:val="both"/>
        <w:rPr/>
      </w:pPr>
      <w:r>
        <w:rPr/>
        <w:t> </w:t>
      </w:r>
    </w:p>
    <w:tbl>
      <w:tblPr>
        <w:tblW w:w="1720" w:type="dxa"/>
        <w:jc w:val="left"/>
        <w:tblInd w:w="0" w:type="dxa"/>
        <w:tblLayout w:type="fixed"/>
        <w:tblCellMar>
          <w:top w:w="0" w:type="dxa"/>
          <w:left w:w="0" w:type="dxa"/>
          <w:bottom w:w="0" w:type="dxa"/>
          <w:right w:w="0" w:type="dxa"/>
        </w:tblCellMar>
      </w:tblPr>
      <w:tblGrid>
        <w:gridCol w:w="75"/>
        <w:gridCol w:w="155"/>
        <w:gridCol w:w="149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Convertible notes</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October 2020, the Company issued $460,000 aggregate principal amount, 0% coupon rate of convertible notes due on 2025 (inclusive of an additional $60,000 aggregate principal amount of such notes pursuant to the exercise in full of the over allotment option of the initial purchasers). The convertible notes are convertible based upon an initial conversion rate of 4.6823 of the Company’s ordinary shares, per share per $1 principal amount of convertible notes (equivalent to a conversion price of approximately $213.57 per ordinary share). The conversion rate is subject to adjustment upon the occurrence of certain specified events. The convertible notes are senior unsecured obligations of the Company. The convertible notes mature on November 1, 2025, unless earlier repurchased, redeemed or converted.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Prior to May 15, 2025, a holder may convert all or a portion of its convertible notes only under the following circumstances: (i) during any calendar quarter commencing after the calendar quarter ending on December 31, 2020 (and only during such calendar quarter), if the last reported sale price of the Company’s ordinary shares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(ii) during the five business day period after any 10 consecutive trading day period in which the trading price, determined pursuant to the terms of the convertible notes, per $1 principal amount of convertible notes for each trading day of the measurement period was less than 98% of the product of the last reported sale price of the ordinary shares and the conversion rate on each such trading day; (iii) if the Company calls such convertible notes for redemption in certain circumstances, at any time prior to the close of business on the third scheduled trading day immediately preceding the redemption date; or (iv) upon the occurrence of specified corporate events.</w:t>
      </w:r>
    </w:p>
    <w:p>
      <w:pPr>
        <w:pStyle w:val="TextBody"/>
        <w:bidi w:val="0"/>
        <w:spacing w:lineRule="auto" w:line="300" w:before="0" w:after="0"/>
        <w:ind w:left="72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- 28</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or after May 15, 2025 until the close of business on the third scheduled trading day immediately preceding the maturity date, a holder may convert its convertible notes at any time, regardless of the foregoing circumstances.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Upon conversion, the Company can pay or deliver cash, ordinary shares or a combination of cash and ordinary shares, at the Company’s election.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may, at any time and from time to time, redeem for cash all or any portion of the convertible notes, at the Company’s option, if the last reported sale price of the Company`s ordinary shares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it delivers notice of redemption at a redemption price equal to 100% of the principal amount of the convertible notes to be redeemed.</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Upon the occurrence of a fundamental change as defined in the indenture, holders may require the Company to repurchase for cash all or any portion of their convertible notes at a fundamental change repurchase price equal to 100% of the principal amount of the convertible notes to be repurchased (plus accrued and unpaid special interest payable under certain circumstances set forth in the terms of the convertible notes (if any) to, but excluding, the fundamental change repurchase date. In addition, in connection with a make-whole fundamental change as defined in the indenture or following the Company’s delivery of a notice of redemption, the company will, in certain circumstances, increase the conversion rate for a holder who elects to convert its convertible notes in connection with such a corporate event or redemption, as the case may be.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Issuance costs attributable to the debt and equity components prior to the adoption of ASU 2020-06 were $9,969 and $2,842, respectively. The effective borrowing rate of the debt component of the convertible notes was 5.1%. This borrowing rate was based on the Company’s synthetic credit risk rating determined by a third-party appraiser.</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annual effective interest rate of the debt component following the adoption of ASU 2020-06 is 6.7%.</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and as of the year ended December 31, 2023, the conditions allowing holders of the convertible senior notes to convert were not met, therefore the notes were classified as long-term liability.</w:t>
      </w:r>
    </w:p>
    <w:p>
      <w:pPr>
        <w:pStyle w:val="TextBody"/>
        <w:bidi w:val="0"/>
        <w:spacing w:lineRule="auto" w:line="300" w:before="200" w:after="283"/>
        <w:ind w:left="720" w:right="0" w:hanging="0"/>
        <w:jc w:val="left"/>
        <w:rPr>
          <w:rFonts w:ascii="Times New Roman;Times;serif" w:hAnsi="Times New Roman;Times;serif"/>
          <w:sz w:val="20"/>
        </w:rPr>
      </w:pPr>
      <w:r>
        <w:rPr>
          <w:rFonts w:ascii="Times New Roman;Times;serif" w:hAnsi="Times New Roman;Times;serif"/>
          <w:sz w:val="20"/>
        </w:rPr>
        <w:t>The net carrying amount of convertible notes as of December 31, 2023 and 2022 were as follows:</w:t>
      </w:r>
    </w:p>
    <w:p>
      <w:pPr>
        <w:pStyle w:val="TextBody"/>
        <w:bidi w:val="0"/>
        <w:spacing w:lineRule="auto" w:line="300" w:before="0" w:after="0"/>
        <w:jc w:val="left"/>
        <w:rPr/>
      </w:pPr>
      <w:r>
        <w:rPr/>
        <w:t> </w:t>
      </w:r>
    </w:p>
    <w:tbl>
      <w:tblPr>
        <w:tblW w:w="4135" w:type="dxa"/>
        <w:jc w:val="left"/>
        <w:tblInd w:w="720" w:type="dxa"/>
        <w:tblLayout w:type="fixed"/>
        <w:tblCellMar>
          <w:top w:w="0" w:type="dxa"/>
          <w:left w:w="0" w:type="dxa"/>
          <w:bottom w:w="0" w:type="dxa"/>
          <w:right w:w="0" w:type="dxa"/>
        </w:tblCellMar>
      </w:tblPr>
      <w:tblGrid>
        <w:gridCol w:w="2255"/>
        <w:gridCol w:w="60"/>
        <w:gridCol w:w="125"/>
        <w:gridCol w:w="695"/>
        <w:gridCol w:w="60"/>
        <w:gridCol w:w="60"/>
        <w:gridCol w:w="125"/>
        <w:gridCol w:w="695"/>
        <w:gridCol w:w="60"/>
      </w:tblGrid>
      <w:tr>
        <w:trPr/>
        <w:tc>
          <w:tcPr>
            <w:tcW w:w="22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Debt component:</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bottom w:val="single" w:sz="12" w:space="0" w:color="000000"/>
            </w:tcBorders>
            <w:shd w:fill="FFFFFF" w:val="clear"/>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bottom w:val="single" w:sz="12" w:space="0" w:color="000000"/>
            </w:tcBorders>
            <w:shd w:fill="FFFFFF" w:val="clear"/>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Principal amounts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460,000</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Unamortized issuance costs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7,236</w:t>
            </w:r>
          </w:p>
        </w:tc>
        <w:tc>
          <w:tcPr>
            <w:tcW w:w="60"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455,305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452,764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- 29</w:t>
      </w:r>
    </w:p>
    <w:p>
      <w:pPr>
        <w:pStyle w:val="HorizontalLine"/>
        <w:bidi w:val="0"/>
        <w:spacing w:lineRule="auto" w:line="300" w:before="0" w:after="283"/>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Financial expenses related to the convertible senior notes for the year ended December 31, 2023, 2022 and 2021 were as follows:</w:t>
      </w:r>
    </w:p>
    <w:p>
      <w:pPr>
        <w:pStyle w:val="TextBody"/>
        <w:bidi w:val="0"/>
        <w:spacing w:lineRule="auto" w:line="300" w:before="0" w:after="0"/>
        <w:ind w:left="720" w:right="0" w:hanging="0"/>
        <w:jc w:val="left"/>
        <w:rPr/>
      </w:pPr>
      <w:r>
        <w:rPr/>
        <w:t> </w:t>
      </w:r>
    </w:p>
    <w:tbl>
      <w:tblPr>
        <w:tblW w:w="4790" w:type="dxa"/>
        <w:jc w:val="left"/>
        <w:tblInd w:w="720" w:type="dxa"/>
        <w:tblLayout w:type="fixed"/>
        <w:tblCellMar>
          <w:top w:w="0" w:type="dxa"/>
          <w:left w:w="0" w:type="dxa"/>
          <w:bottom w:w="0" w:type="dxa"/>
          <w:right w:w="0" w:type="dxa"/>
        </w:tblCellMar>
      </w:tblPr>
      <w:tblGrid>
        <w:gridCol w:w="2495"/>
        <w:gridCol w:w="60"/>
        <w:gridCol w:w="125"/>
        <w:gridCol w:w="485"/>
        <w:gridCol w:w="60"/>
        <w:gridCol w:w="60"/>
        <w:gridCol w:w="125"/>
        <w:gridCol w:w="485"/>
        <w:gridCol w:w="60"/>
        <w:gridCol w:w="60"/>
        <w:gridCol w:w="125"/>
        <w:gridCol w:w="590"/>
        <w:gridCol w:w="60"/>
      </w:tblGrid>
      <w:tr>
        <w:trPr/>
        <w:tc>
          <w:tcPr>
            <w:tcW w:w="24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17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discount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19,473</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issuance costs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556</w:t>
            </w:r>
          </w:p>
        </w:tc>
        <w:tc>
          <w:tcPr>
            <w:tcW w:w="6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Capped call</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connection with the pricing of the convertible notes and the exercise of the over allotment option, the Company entered into privately negotiated capped call transactions with certain financial institutions. The capped call transactions cover, collectively, the number of the Company’s ordinary shares underlying the convertible notes, subject to anti-dilution adjustments substantially similar to those applicable to the convertible notes. The capped call has an initial strike price of $213.57 per ordinary share, subject to certain adjustments, which corresponds to the approximate initial conversion price of the convertible notes. The cap price of the capped call is initially $305.1 per ordinary share and is subject to certain adjustments under the terms of the capped call.</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capped call transactions were considered to be freestanding instruments as they were entered into separately and apart from the convertible notes and since the conversion or redemption of the convertible notes does not automatically result in the exercise of the capped call. The capped call transactions are indexed to the Company’s own shares and meet the criteria for equity classification. The cost of the capped call transactions was approximately $43,240 recorded as a reduction to additional paid in capital with no subsequent measurement.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13: - Other non-current liabilities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Other non-current liabilities consisted of the following as of:</w:t>
      </w:r>
    </w:p>
    <w:p>
      <w:pPr>
        <w:pStyle w:val="TextBody"/>
        <w:bidi w:val="0"/>
        <w:spacing w:lineRule="auto" w:line="300" w:before="0" w:after="0"/>
        <w:jc w:val="left"/>
        <w:rPr/>
      </w:pPr>
      <w:r>
        <w:rPr/>
        <w:t> </w:t>
      </w:r>
    </w:p>
    <w:tbl>
      <w:tblPr>
        <w:tblW w:w="3295" w:type="dxa"/>
        <w:jc w:val="left"/>
        <w:tblInd w:w="720" w:type="dxa"/>
        <w:tblLayout w:type="fixed"/>
        <w:tblCellMar>
          <w:top w:w="0" w:type="dxa"/>
          <w:left w:w="0" w:type="dxa"/>
          <w:bottom w:w="0" w:type="dxa"/>
          <w:right w:w="0" w:type="dxa"/>
        </w:tblCellMar>
      </w:tblPr>
      <w:tblGrid>
        <w:gridCol w:w="1835"/>
        <w:gridCol w:w="60"/>
        <w:gridCol w:w="125"/>
        <w:gridCol w:w="485"/>
        <w:gridCol w:w="60"/>
        <w:gridCol w:w="60"/>
        <w:gridCol w:w="125"/>
        <w:gridCol w:w="485"/>
        <w:gridCol w:w="60"/>
      </w:tblGrid>
      <w:tr>
        <w:trPr/>
        <w:tc>
          <w:tcPr>
            <w:tcW w:w="18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474</w:t>
            </w:r>
          </w:p>
        </w:tc>
        <w:tc>
          <w:tcPr>
            <w:tcW w:w="6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1,085</w:t>
            </w:r>
          </w:p>
        </w:tc>
        <w:tc>
          <w:tcPr>
            <w:tcW w:w="6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14: - Shareholders’ equity</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June 2, 2020 the Company closed a follow-on offering whereby 2,300,000 ordinary shares were sold by the Company to the public, (inclusive of 300,000 ordinary shares pursuant to the full exercise of an over allotment option granted to the underwriters). The aggregate net proceeds received by the Company from the offering were $129,853 net of underwriting discounts and other offering costs.</w:t>
            </w:r>
          </w:p>
        </w:tc>
      </w:tr>
    </w:tbl>
    <w:p>
      <w:pPr>
        <w:pStyle w:val="TextBody"/>
        <w:bidi w:val="0"/>
        <w:spacing w:lineRule="auto" w:line="300"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Holders of ordinary shares are entitled to one vote per share and dividends whenever funds are legally available and when, as, and if declared by the Company’s board of directors.</w:t>
            </w:r>
          </w:p>
        </w:tc>
      </w:tr>
    </w:tbl>
    <w:p>
      <w:pPr>
        <w:pStyle w:val="TextBody"/>
        <w:bidi w:val="0"/>
        <w:spacing w:lineRule="auto" w:line="300" w:before="0" w:after="0"/>
        <w:jc w:val="both"/>
        <w:rPr/>
      </w:pPr>
      <w:r>
        <w:rPr/>
        <w:t> </w:t>
      </w:r>
    </w:p>
    <w:tbl>
      <w:tblPr>
        <w:tblW w:w="2275" w:type="dxa"/>
        <w:jc w:val="left"/>
        <w:tblInd w:w="0" w:type="dxa"/>
        <w:tblLayout w:type="fixed"/>
        <w:tblCellMar>
          <w:top w:w="0" w:type="dxa"/>
          <w:left w:w="0" w:type="dxa"/>
          <w:bottom w:w="0" w:type="dxa"/>
          <w:right w:w="0" w:type="dxa"/>
        </w:tblCellMar>
      </w:tblPr>
      <w:tblGrid>
        <w:gridCol w:w="75"/>
        <w:gridCol w:w="155"/>
        <w:gridCol w:w="204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 options and RSUs:</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2011, the board of directors adopted the 2011 share option plan for employees, officers, directors and consultants (the “2011 Plan”). Each share option granted under the 2011 Plan expires no later than ten years from the date of grant. The vesting period of the share options is generally four years. As of December 31, 2019, the Company is no longer granting any awards under the 2011 Plan.</w:t>
      </w:r>
    </w:p>
    <w:p>
      <w:pPr>
        <w:pStyle w:val="TextBody"/>
        <w:bidi w:val="0"/>
        <w:spacing w:lineRule="auto" w:line="300" w:before="0" w:after="0"/>
        <w:ind w:left="720" w:right="0" w:hanging="0"/>
        <w:jc w:val="both"/>
        <w:rPr/>
      </w:pPr>
      <w:r>
        <w:rPr/>
        <w:t> </w:t>
      </w:r>
    </w:p>
    <w:p>
      <w:pPr>
        <w:pStyle w:val="TextBody"/>
        <w:bidi w:val="0"/>
        <w:spacing w:lineRule="auto" w:line="300"/>
        <w:ind w:left="720" w:right="0" w:hanging="22"/>
        <w:jc w:val="both"/>
        <w:rPr>
          <w:rFonts w:ascii="Times New Roman;Times;serif" w:hAnsi="Times New Roman;Times;serif"/>
          <w:sz w:val="20"/>
        </w:rPr>
      </w:pPr>
      <w:r>
        <w:rPr>
          <w:rFonts w:ascii="Times New Roman;Times;serif" w:hAnsi="Times New Roman;Times;serif"/>
          <w:sz w:val="20"/>
        </w:rPr>
        <w:t>In 2019, the board of directors adopted the 2019 share incentive plan (the “2019 Plan”) for employees, officers, directors and consultants. The 2019 Plan provides for the grant of share options (including incentive share options and non-qualified share options), ordinary shares, restricted shares, RSUs and other share-based awards.</w:t>
      </w:r>
    </w:p>
    <w:p>
      <w:pPr>
        <w:pStyle w:val="TextBody"/>
        <w:bidi w:val="0"/>
        <w:spacing w:lineRule="auto" w:line="300" w:before="0" w:after="0"/>
        <w:ind w:left="720" w:right="0" w:hanging="22"/>
        <w:jc w:val="both"/>
        <w:rPr/>
      </w:pPr>
      <w:r>
        <w:rPr/>
        <w:t> </w:t>
      </w:r>
    </w:p>
    <w:p>
      <w:pPr>
        <w:pStyle w:val="TextBody"/>
        <w:bidi w:val="0"/>
        <w:spacing w:lineRule="auto" w:line="300" w:before="0" w:after="0"/>
        <w:ind w:left="720" w:right="0" w:hanging="22"/>
        <w:jc w:val="both"/>
        <w:rPr>
          <w:sz w:val="20"/>
        </w:rPr>
      </w:pPr>
      <w:r>
        <w:rPr>
          <w:rFonts w:ascii="Times New Roman;Times;serif" w:hAnsi="Times New Roman;Times;serif"/>
          <w:sz w:val="20"/>
        </w:rPr>
        <w:t>The maximum number of ordinary shares available for issuance under the 2019 Plan is equal to the sum of (i) 560,80754 shares, (ii) any shares subject to awards under the 2011 Plan which will expire or become un-exercisable without having been exercised, and (iii) an annual increase on the first day of each year beginning in 2020 and ending in and including 2029, equal to the lesser of (A) 14,259,677 shares, (B) 5% of the outstanding shares on the last day of the immediately preceding calendar year on a fully diluted basis and (C) such amount as determined by our board of directors if so determined, prior to January 1 of a calendar year; provided, however, that no more than 14,820,484 shares may be issued upon the exercise of incentive stock options, or ISOs.</w:t>
      </w:r>
      <w:r>
        <w:rPr>
          <w:sz w:val="20"/>
        </w:rPr>
        <w:t xml:space="preserve"> </w:t>
      </w:r>
    </w:p>
    <w:p>
      <w:pPr>
        <w:pStyle w:val="TextBody"/>
        <w:bidi w:val="0"/>
        <w:spacing w:lineRule="auto" w:line="300" w:before="0" w:after="0"/>
        <w:ind w:left="1440" w:right="0" w:hanging="0"/>
        <w:jc w:val="both"/>
        <w:rPr/>
      </w:pPr>
      <w:r>
        <w:rPr/>
        <w:t> </w:t>
      </w:r>
    </w:p>
    <w:p>
      <w:pPr>
        <w:pStyle w:val="TextBody"/>
        <w:bidi w:val="0"/>
        <w:spacing w:lineRule="auto" w:line="300"/>
        <w:ind w:left="720" w:right="0" w:hanging="0"/>
        <w:jc w:val="both"/>
        <w:rPr>
          <w:sz w:val="20"/>
        </w:rPr>
      </w:pPr>
      <w:r>
        <w:rPr>
          <w:rFonts w:ascii="Times New Roman;Times;serif" w:hAnsi="Times New Roman;Times;serif"/>
          <w:sz w:val="20"/>
        </w:rPr>
        <w:t>Each share option granted under the 2019 Plan expires no later than seven years from the date of grant. The vesting period of the share options is generally four years.</w:t>
      </w:r>
      <w:r>
        <w:rPr>
          <w:sz w:val="20"/>
        </w:rPr>
        <w:t xml:space="preserve"> </w:t>
      </w:r>
    </w:p>
    <w:p>
      <w:pPr>
        <w:pStyle w:val="TextBody"/>
        <w:bidi w:val="0"/>
        <w:spacing w:lineRule="auto" w:line="300" w:before="0" w:after="0"/>
        <w:ind w:left="144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2023 1,476,818 restricted share units were outstanding under the 2019 Plan and the total of 1,737,003 ordinary shares was available for future grants under the 2019 Plan.</w:t>
      </w:r>
    </w:p>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summarizes the status of the share options as of and for the year ended:</w:t>
      </w:r>
    </w:p>
    <w:p>
      <w:pPr>
        <w:pStyle w:val="TextBody"/>
        <w:bidi w:val="0"/>
        <w:spacing w:lineRule="auto" w:line="300" w:before="0" w:after="0"/>
        <w:ind w:left="720" w:right="0" w:firstLine="720"/>
        <w:jc w:val="both"/>
        <w:rPr/>
      </w:pPr>
      <w:r>
        <w:rPr/>
        <w:t> </w:t>
      </w:r>
    </w:p>
    <w:tbl>
      <w:tblPr>
        <w:tblW w:w="6713" w:type="dxa"/>
        <w:jc w:val="left"/>
        <w:tblInd w:w="720" w:type="dxa"/>
        <w:tblLayout w:type="fixed"/>
        <w:tblCellMar>
          <w:top w:w="0" w:type="dxa"/>
          <w:left w:w="0" w:type="dxa"/>
          <w:bottom w:w="0" w:type="dxa"/>
          <w:right w:w="0" w:type="dxa"/>
        </w:tblCellMar>
      </w:tblPr>
      <w:tblGrid>
        <w:gridCol w:w="3305"/>
        <w:gridCol w:w="60"/>
        <w:gridCol w:w="75"/>
        <w:gridCol w:w="1069"/>
        <w:gridCol w:w="80"/>
        <w:gridCol w:w="60"/>
        <w:gridCol w:w="97"/>
        <w:gridCol w:w="792"/>
        <w:gridCol w:w="60"/>
        <w:gridCol w:w="60"/>
        <w:gridCol w:w="135"/>
        <w:gridCol w:w="860"/>
        <w:gridCol w:w="60"/>
      </w:tblGrid>
      <w:tr>
        <w:trPr/>
        <w:tc>
          <w:tcPr>
            <w:tcW w:w="330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288"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 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remaining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term</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years)</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3,096,214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711,272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(363,291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(31,914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at the end of the year</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3,412,281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Exercisable at the end of the year</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2,324,545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4.18</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weighted-average grant-date fair value of share options granted was $18.17 , $25.24 and $130.95 per share for the years ended December 31, 2023, 2022 and 2021, respectively.</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fair value of these share options was estimated on the grant date based on the following weighted average assumptions for the years ended:</w:t>
      </w:r>
    </w:p>
    <w:p>
      <w:pPr>
        <w:pStyle w:val="TextBody"/>
        <w:bidi w:val="0"/>
        <w:spacing w:lineRule="auto" w:line="300" w:before="0" w:after="0"/>
        <w:ind w:left="720" w:right="0" w:hanging="0"/>
        <w:jc w:val="left"/>
        <w:rPr/>
      </w:pPr>
      <w:r>
        <w:rPr/>
        <w:t> </w:t>
      </w:r>
    </w:p>
    <w:tbl>
      <w:tblPr>
        <w:tblW w:w="8090" w:type="dxa"/>
        <w:jc w:val="left"/>
        <w:tblInd w:w="720" w:type="dxa"/>
        <w:tblLayout w:type="fixed"/>
        <w:tblCellMar>
          <w:top w:w="0" w:type="dxa"/>
          <w:left w:w="0" w:type="dxa"/>
          <w:bottom w:w="0" w:type="dxa"/>
          <w:right w:w="0" w:type="dxa"/>
        </w:tblCellMar>
      </w:tblPr>
      <w:tblGrid>
        <w:gridCol w:w="4070"/>
        <w:gridCol w:w="60"/>
        <w:gridCol w:w="1265"/>
        <w:gridCol w:w="60"/>
        <w:gridCol w:w="1160"/>
        <w:gridCol w:w="60"/>
        <w:gridCol w:w="1355"/>
        <w:gridCol w:w="60"/>
      </w:tblGrid>
      <w:tr>
        <w:trPr/>
        <w:tc>
          <w:tcPr>
            <w:tcW w:w="40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3900" w:type="dxa"/>
            <w:gridSpan w:val="5"/>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lineRule="auto" w:line="300" w:before="0" w:after="0"/>
              <w:jc w:val="left"/>
              <w:rPr/>
            </w:pPr>
            <w:r>
              <w:rPr/>
              <w:t> </w:t>
            </w:r>
          </w:p>
        </w:tc>
      </w:tr>
      <w:tr>
        <w:trPr/>
        <w:tc>
          <w:tcPr>
            <w:tcW w:w="40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2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lineRule="auto" w:line="300" w:before="0" w:after="0"/>
              <w:jc w:val="left"/>
              <w:rPr/>
            </w:pPr>
            <w:r>
              <w:rPr/>
              <w:t> </w:t>
            </w:r>
          </w:p>
        </w:tc>
        <w:tc>
          <w:tcPr>
            <w:tcW w:w="116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lineRule="auto" w:line="300" w:before="0" w:after="0"/>
              <w:jc w:val="left"/>
              <w:rPr/>
            </w:pPr>
            <w:r>
              <w:rPr/>
              <w:t> </w:t>
            </w:r>
          </w:p>
        </w:tc>
        <w:tc>
          <w:tcPr>
            <w:tcW w:w="135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lineRule="auto" w:line="300" w:before="0" w:after="0"/>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bidi w:val="0"/>
              <w:spacing w:lineRule="auto" w:line="300" w:before="0" w:after="0"/>
              <w:jc w:val="left"/>
              <w:rPr/>
            </w:pPr>
            <w:r>
              <w:rPr/>
              <w:t> </w:t>
            </w:r>
          </w:p>
        </w:tc>
        <w:tc>
          <w:tcPr>
            <w:tcW w:w="12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56% – 58%</w:t>
            </w:r>
          </w:p>
        </w:tc>
        <w:tc>
          <w:tcPr>
            <w:tcW w:w="60" w:type="dxa"/>
            <w:tcBorders/>
            <w:shd w:fill="CCEEFF" w:val="clear"/>
            <w:vAlign w:val="center"/>
          </w:tcPr>
          <w:p>
            <w:pPr>
              <w:pStyle w:val="TableContents"/>
              <w:bidi w:val="0"/>
              <w:spacing w:lineRule="auto" w:line="300" w:before="0" w:after="0"/>
              <w:jc w:val="left"/>
              <w:rPr/>
            </w:pPr>
            <w:r>
              <w:rPr/>
              <w:t> </w:t>
            </w:r>
          </w:p>
        </w:tc>
        <w:tc>
          <w:tcPr>
            <w:tcW w:w="11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54% – 57%</w:t>
            </w:r>
          </w:p>
        </w:tc>
        <w:tc>
          <w:tcPr>
            <w:tcW w:w="60" w:type="dxa"/>
            <w:tcBorders/>
            <w:shd w:fill="CCEEFF" w:val="clear"/>
            <w:vAlign w:val="center"/>
          </w:tcPr>
          <w:p>
            <w:pPr>
              <w:pStyle w:val="TableContents"/>
              <w:bidi w:val="0"/>
              <w:spacing w:lineRule="auto" w:line="300" w:before="0" w:after="0"/>
              <w:jc w:val="left"/>
              <w:rPr/>
            </w:pPr>
            <w:r>
              <w:rPr/>
              <w:t> </w:t>
            </w:r>
          </w:p>
        </w:tc>
        <w:tc>
          <w:tcPr>
            <w:tcW w:w="135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50% – 55%</w:t>
            </w:r>
          </w:p>
        </w:tc>
        <w:tc>
          <w:tcPr>
            <w:tcW w:w="60" w:type="dxa"/>
            <w:tcBorders/>
            <w:shd w:fill="CCEEFF" w:val="clear"/>
            <w:vAlign w:val="center"/>
          </w:tcPr>
          <w:p>
            <w:pPr>
              <w:pStyle w:val="TableContents"/>
              <w:bidi w:val="0"/>
              <w:spacing w:lineRule="auto" w:line="300" w:before="0" w:after="0"/>
              <w:jc w:val="left"/>
              <w:rPr/>
            </w:pPr>
            <w:r>
              <w:rPr/>
              <w:t> </w:t>
            </w:r>
          </w:p>
        </w:tc>
      </w:tr>
      <w:tr>
        <w:trPr/>
        <w:tc>
          <w:tcPr>
            <w:tcW w:w="40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vAlign w:val="center"/>
          </w:tcPr>
          <w:p>
            <w:pPr>
              <w:pStyle w:val="TableContents"/>
              <w:bidi w:val="0"/>
              <w:spacing w:lineRule="auto" w:line="300" w:before="0" w:after="0"/>
              <w:jc w:val="left"/>
              <w:rPr/>
            </w:pPr>
            <w:r>
              <w:rPr/>
              <w:t> </w:t>
            </w:r>
          </w:p>
        </w:tc>
        <w:tc>
          <w:tcPr>
            <w:tcW w:w="12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3.78 – 5.23</w:t>
            </w:r>
          </w:p>
        </w:tc>
        <w:tc>
          <w:tcPr>
            <w:tcW w:w="60" w:type="dxa"/>
            <w:tcBorders/>
            <w:vAlign w:val="center"/>
          </w:tcPr>
          <w:p>
            <w:pPr>
              <w:pStyle w:val="TableContents"/>
              <w:bidi w:val="0"/>
              <w:spacing w:lineRule="auto" w:line="300" w:before="0" w:after="0"/>
              <w:jc w:val="left"/>
              <w:rPr/>
            </w:pPr>
            <w:r>
              <w:rPr/>
              <w:t> </w:t>
            </w:r>
          </w:p>
        </w:tc>
        <w:tc>
          <w:tcPr>
            <w:tcW w:w="116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3.78 – 4.56</w:t>
            </w:r>
          </w:p>
        </w:tc>
        <w:tc>
          <w:tcPr>
            <w:tcW w:w="60" w:type="dxa"/>
            <w:tcBorders/>
            <w:vAlign w:val="center"/>
          </w:tcPr>
          <w:p>
            <w:pPr>
              <w:pStyle w:val="TableContents"/>
              <w:bidi w:val="0"/>
              <w:spacing w:lineRule="auto" w:line="300" w:before="0" w:after="0"/>
              <w:jc w:val="left"/>
              <w:rPr/>
            </w:pPr>
            <w:r>
              <w:rPr/>
              <w:t> </w:t>
            </w:r>
          </w:p>
        </w:tc>
        <w:tc>
          <w:tcPr>
            <w:tcW w:w="135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3.67 – 4.61</w:t>
            </w:r>
          </w:p>
        </w:tc>
        <w:tc>
          <w:tcPr>
            <w:tcW w:w="60" w:type="dxa"/>
            <w:tcBorders/>
            <w:vAlign w:val="center"/>
          </w:tcPr>
          <w:p>
            <w:pPr>
              <w:pStyle w:val="TableContents"/>
              <w:bidi w:val="0"/>
              <w:spacing w:lineRule="auto" w:line="300" w:before="0" w:after="0"/>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lineRule="auto" w:line="300" w:before="0" w:after="0"/>
              <w:jc w:val="left"/>
              <w:rPr/>
            </w:pPr>
            <w:r>
              <w:rPr/>
              <w:t> </w:t>
            </w:r>
          </w:p>
        </w:tc>
        <w:tc>
          <w:tcPr>
            <w:tcW w:w="12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3.37% – 4.22%</w:t>
            </w:r>
          </w:p>
        </w:tc>
        <w:tc>
          <w:tcPr>
            <w:tcW w:w="60" w:type="dxa"/>
            <w:tcBorders/>
            <w:shd w:fill="CCEEFF" w:val="clear"/>
            <w:vAlign w:val="center"/>
          </w:tcPr>
          <w:p>
            <w:pPr>
              <w:pStyle w:val="TableContents"/>
              <w:bidi w:val="0"/>
              <w:spacing w:lineRule="auto" w:line="300" w:before="0" w:after="0"/>
              <w:jc w:val="left"/>
              <w:rPr/>
            </w:pPr>
            <w:r>
              <w:rPr/>
              <w:t> </w:t>
            </w:r>
          </w:p>
        </w:tc>
        <w:tc>
          <w:tcPr>
            <w:tcW w:w="11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1.87% – 4.4%</w:t>
            </w:r>
          </w:p>
        </w:tc>
        <w:tc>
          <w:tcPr>
            <w:tcW w:w="60" w:type="dxa"/>
            <w:tcBorders/>
            <w:shd w:fill="CCEEFF" w:val="clear"/>
            <w:vAlign w:val="center"/>
          </w:tcPr>
          <w:p>
            <w:pPr>
              <w:pStyle w:val="TableContents"/>
              <w:bidi w:val="0"/>
              <w:spacing w:lineRule="auto" w:line="300" w:before="0" w:after="0"/>
              <w:jc w:val="left"/>
              <w:rPr/>
            </w:pPr>
            <w:r>
              <w:rPr/>
              <w:t> </w:t>
            </w:r>
          </w:p>
        </w:tc>
        <w:tc>
          <w:tcPr>
            <w:tcW w:w="135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0.43% – 1.11%</w:t>
            </w:r>
          </w:p>
        </w:tc>
        <w:tc>
          <w:tcPr>
            <w:tcW w:w="60" w:type="dxa"/>
            <w:tcBorders/>
            <w:shd w:fill="CCEEFF" w:val="clear"/>
            <w:vAlign w:val="center"/>
          </w:tcPr>
          <w:p>
            <w:pPr>
              <w:pStyle w:val="TableContents"/>
              <w:bidi w:val="0"/>
              <w:spacing w:lineRule="auto" w:line="300" w:before="0" w:after="0"/>
              <w:jc w:val="left"/>
              <w:rPr/>
            </w:pPr>
            <w:r>
              <w:rPr/>
              <w:t> </w:t>
            </w:r>
          </w:p>
        </w:tc>
      </w:tr>
      <w:tr>
        <w:trPr/>
        <w:tc>
          <w:tcPr>
            <w:tcW w:w="40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Estimated fair value of underlying ordinary shares</w:t>
            </w:r>
          </w:p>
        </w:tc>
        <w:tc>
          <w:tcPr>
            <w:tcW w:w="60" w:type="dxa"/>
            <w:tcBorders/>
            <w:vAlign w:val="center"/>
          </w:tcPr>
          <w:p>
            <w:pPr>
              <w:pStyle w:val="TableContents"/>
              <w:bidi w:val="0"/>
              <w:spacing w:lineRule="auto" w:line="300" w:before="0" w:after="0"/>
              <w:jc w:val="left"/>
              <w:rPr/>
            </w:pPr>
            <w:r>
              <w:rPr/>
              <w:t> </w:t>
            </w:r>
          </w:p>
        </w:tc>
        <w:tc>
          <w:tcPr>
            <w:tcW w:w="12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20.5 – 39.35</w:t>
            </w:r>
          </w:p>
        </w:tc>
        <w:tc>
          <w:tcPr>
            <w:tcW w:w="60" w:type="dxa"/>
            <w:tcBorders/>
            <w:vAlign w:val="center"/>
          </w:tcPr>
          <w:p>
            <w:pPr>
              <w:pStyle w:val="TableContents"/>
              <w:bidi w:val="0"/>
              <w:spacing w:lineRule="auto" w:line="300" w:before="0" w:after="0"/>
              <w:jc w:val="left"/>
              <w:rPr/>
            </w:pPr>
            <w:r>
              <w:rPr/>
              <w:t> </w:t>
            </w:r>
          </w:p>
        </w:tc>
        <w:tc>
          <w:tcPr>
            <w:tcW w:w="116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27.55 – 81.03</w:t>
            </w:r>
          </w:p>
        </w:tc>
        <w:tc>
          <w:tcPr>
            <w:tcW w:w="60" w:type="dxa"/>
            <w:tcBorders/>
            <w:vAlign w:val="center"/>
          </w:tcPr>
          <w:p>
            <w:pPr>
              <w:pStyle w:val="TableContents"/>
              <w:bidi w:val="0"/>
              <w:spacing w:lineRule="auto" w:line="300" w:before="0" w:after="0"/>
              <w:jc w:val="left"/>
              <w:rPr/>
            </w:pPr>
            <w:r>
              <w:rPr/>
              <w:t> </w:t>
            </w:r>
          </w:p>
        </w:tc>
        <w:tc>
          <w:tcPr>
            <w:tcW w:w="135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170.35 – 323.10</w:t>
            </w:r>
          </w:p>
        </w:tc>
        <w:tc>
          <w:tcPr>
            <w:tcW w:w="60" w:type="dxa"/>
            <w:tcBorders/>
            <w:vAlign w:val="center"/>
          </w:tcPr>
          <w:p>
            <w:pPr>
              <w:pStyle w:val="TableContents"/>
              <w:bidi w:val="0"/>
              <w:spacing w:lineRule="auto" w:line="300" w:before="0" w:after="0"/>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lineRule="auto" w:line="300" w:before="0" w:after="0"/>
              <w:jc w:val="left"/>
              <w:rPr/>
            </w:pPr>
            <w:r>
              <w:rPr/>
              <w:t> </w:t>
            </w:r>
          </w:p>
        </w:tc>
        <w:tc>
          <w:tcPr>
            <w:tcW w:w="12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lineRule="auto" w:line="300" w:before="0" w:after="0"/>
              <w:jc w:val="center"/>
              <w:rPr/>
            </w:pPr>
            <w:r>
              <w:rPr/>
              <w:t> </w:t>
            </w:r>
          </w:p>
        </w:tc>
        <w:tc>
          <w:tcPr>
            <w:tcW w:w="11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lineRule="auto" w:line="300" w:before="0" w:after="0"/>
              <w:jc w:val="center"/>
              <w:rPr/>
            </w:pPr>
            <w:r>
              <w:rPr/>
              <w:t> </w:t>
            </w:r>
          </w:p>
        </w:tc>
        <w:tc>
          <w:tcPr>
            <w:tcW w:w="135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lineRule="auto" w:line="300" w:before="0" w:after="0"/>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share options outstanding under the 2011 plan as of December 31, 2023, have been separated into exercise price groups as follows:</w:t>
      </w:r>
    </w:p>
    <w:p>
      <w:pPr>
        <w:pStyle w:val="TextBody"/>
        <w:bidi w:val="0"/>
        <w:spacing w:before="0" w:after="0"/>
        <w:jc w:val="left"/>
        <w:rPr/>
      </w:pPr>
      <w:r>
        <w:rPr/>
        <w:t> </w:t>
      </w:r>
    </w:p>
    <w:tbl>
      <w:tblPr>
        <w:tblW w:w="6741" w:type="dxa"/>
        <w:jc w:val="left"/>
        <w:tblInd w:w="720" w:type="dxa"/>
        <w:tblLayout w:type="fixed"/>
        <w:tblCellMar>
          <w:top w:w="0" w:type="dxa"/>
          <w:left w:w="0" w:type="dxa"/>
          <w:bottom w:w="0" w:type="dxa"/>
          <w:right w:w="0" w:type="dxa"/>
        </w:tblCellMar>
      </w:tblPr>
      <w:tblGrid>
        <w:gridCol w:w="2075"/>
        <w:gridCol w:w="60"/>
        <w:gridCol w:w="147"/>
        <w:gridCol w:w="997"/>
        <w:gridCol w:w="60"/>
        <w:gridCol w:w="360"/>
        <w:gridCol w:w="360"/>
        <w:gridCol w:w="363"/>
        <w:gridCol w:w="60"/>
        <w:gridCol w:w="104"/>
        <w:gridCol w:w="1040"/>
        <w:gridCol w:w="60"/>
        <w:gridCol w:w="60"/>
        <w:gridCol w:w="135"/>
        <w:gridCol w:w="860"/>
      </w:tblGrid>
      <w:tr>
        <w:trPr/>
        <w:tc>
          <w:tcPr>
            <w:tcW w:w="2075"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lineRule="auto" w:line="300" w:before="0" w:after="0"/>
              <w:jc w:val="center"/>
              <w:rPr/>
            </w:pPr>
            <w:r>
              <w:rPr/>
              <w:t> </w:t>
            </w:r>
          </w:p>
        </w:tc>
        <w:tc>
          <w:tcPr>
            <w:tcW w:w="147" w:type="dxa"/>
            <w:tcBorders>
              <w:bottom w:val="single" w:sz="12" w:space="0" w:color="000000"/>
            </w:tcBorders>
            <w:tcMar>
              <w:bottom w:w="28" w:type="dxa"/>
            </w:tcMar>
            <w:vAlign w:val="center"/>
          </w:tcPr>
          <w:p>
            <w:pPr>
              <w:pStyle w:val="TableContents"/>
              <w:bidi w:val="0"/>
              <w:spacing w:lineRule="auto" w:line="300" w:before="0" w:after="0"/>
              <w:jc w:val="center"/>
              <w:rPr/>
            </w:pPr>
            <w:r>
              <w:rPr/>
              <w:t> </w:t>
            </w:r>
          </w:p>
        </w:tc>
        <w:tc>
          <w:tcPr>
            <w:tcW w:w="2140" w:type="dxa"/>
            <w:gridSpan w:val="5"/>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bottom w:val="single" w:sz="12" w:space="0" w:color="000000"/>
            </w:tcBorders>
            <w:tcMar>
              <w:bottom w:w="28" w:type="dxa"/>
            </w:tcMar>
            <w:vAlign w:val="center"/>
          </w:tcPr>
          <w:p>
            <w:pPr>
              <w:pStyle w:val="TableContents"/>
              <w:bidi w:val="0"/>
              <w:spacing w:lineRule="auto" w:line="300" w:before="0" w:after="0"/>
              <w:jc w:val="center"/>
              <w:rPr/>
            </w:pPr>
            <w:r>
              <w:rPr/>
              <w:t> </w:t>
            </w:r>
          </w:p>
        </w:tc>
        <w:tc>
          <w:tcPr>
            <w:tcW w:w="225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Exercisable</w:t>
            </w:r>
          </w:p>
        </w:tc>
      </w:tr>
      <w:tr>
        <w:trPr/>
        <w:tc>
          <w:tcPr>
            <w:tcW w:w="207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Exercise price</w:t>
            </w:r>
          </w:p>
        </w:tc>
        <w:tc>
          <w:tcPr>
            <w:tcW w:w="60" w:type="dxa"/>
            <w:tcBorders/>
            <w:vAlign w:val="center"/>
          </w:tcPr>
          <w:p>
            <w:pPr>
              <w:pStyle w:val="TableContents"/>
              <w:bidi w:val="0"/>
              <w:spacing w:lineRule="auto" w:line="300" w:before="0" w:after="0"/>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 options</w:t>
            </w:r>
          </w:p>
        </w:tc>
        <w:tc>
          <w:tcPr>
            <w:tcW w:w="60" w:type="dxa"/>
            <w:tcBorders/>
            <w:vAlign w:val="center"/>
          </w:tcPr>
          <w:p>
            <w:pPr>
              <w:pStyle w:val="TableContents"/>
              <w:bidi w:val="0"/>
              <w:spacing w:lineRule="auto" w:line="300" w:before="0" w:after="0"/>
              <w:jc w:val="center"/>
              <w:rPr/>
            </w:pPr>
            <w:r>
              <w:rPr/>
              <w:t> </w:t>
            </w:r>
          </w:p>
        </w:tc>
        <w:tc>
          <w:tcPr>
            <w:tcW w:w="1083" w:type="dxa"/>
            <w:gridSpan w:val="3"/>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life(in years)</w:t>
            </w:r>
          </w:p>
        </w:tc>
        <w:tc>
          <w:tcPr>
            <w:tcW w:w="60" w:type="dxa"/>
            <w:tcBorders>
              <w:bottom w:val="single" w:sz="12" w:space="0" w:color="000000"/>
            </w:tcBorders>
            <w:tcMar>
              <w:bottom w:w="28" w:type="dxa"/>
            </w:tcMar>
            <w:vAlign w:val="center"/>
          </w:tcPr>
          <w:p>
            <w:pPr>
              <w:pStyle w:val="TableContents"/>
              <w:bidi w:val="0"/>
              <w:spacing w:lineRule="auto" w:line="300" w:before="0" w:after="0"/>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 options</w:t>
            </w:r>
          </w:p>
        </w:tc>
        <w:tc>
          <w:tcPr>
            <w:tcW w:w="60"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lineRule="auto" w:line="300" w:before="0" w:after="0"/>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life(years)</w:t>
            </w:r>
          </w:p>
        </w:tc>
      </w:tr>
      <w:tr>
        <w:trPr/>
        <w:tc>
          <w:tcPr>
            <w:tcW w:w="2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$1.74-$5.15</w:t>
            </w:r>
          </w:p>
        </w:tc>
        <w:tc>
          <w:tcPr>
            <w:tcW w:w="60" w:type="dxa"/>
            <w:tcBorders/>
            <w:shd w:fill="CCEEFF" w:val="clear"/>
            <w:vAlign w:val="center"/>
          </w:tcPr>
          <w:p>
            <w:pPr>
              <w:pStyle w:val="TableContents"/>
              <w:bidi w:val="0"/>
              <w:spacing w:lineRule="auto" w:line="300" w:before="0" w:after="0"/>
              <w:jc w:val="left"/>
              <w:rPr/>
            </w:pPr>
            <w:r>
              <w:rPr/>
              <w:t> </w:t>
            </w:r>
          </w:p>
        </w:tc>
        <w:tc>
          <w:tcPr>
            <w:tcW w:w="147" w:type="dxa"/>
            <w:tcBorders/>
            <w:shd w:fill="CCEEFF" w:val="clear"/>
            <w:vAlign w:val="center"/>
          </w:tcPr>
          <w:p>
            <w:pPr>
              <w:pStyle w:val="TableContents"/>
              <w:bidi w:val="0"/>
              <w:spacing w:lineRule="auto" w:line="300" w:before="0" w:after="0"/>
              <w:jc w:val="right"/>
              <w:rPr/>
            </w:pPr>
            <w:r>
              <w:rPr/>
              <w:t> </w:t>
            </w:r>
          </w:p>
        </w:tc>
        <w:tc>
          <w:tcPr>
            <w:tcW w:w="9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275,414</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723"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275,414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w:t>
            </w:r>
          </w:p>
        </w:tc>
      </w:tr>
      <w:tr>
        <w:trPr/>
        <w:tc>
          <w:tcPr>
            <w:tcW w:w="2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$5.16-$11.81</w:t>
            </w:r>
          </w:p>
        </w:tc>
        <w:tc>
          <w:tcPr>
            <w:tcW w:w="60" w:type="dxa"/>
            <w:tcBorders/>
            <w:vAlign w:val="center"/>
          </w:tcPr>
          <w:p>
            <w:pPr>
              <w:pStyle w:val="TableContents"/>
              <w:bidi w:val="0"/>
              <w:spacing w:lineRule="auto" w:line="300" w:before="0" w:after="0"/>
              <w:jc w:val="left"/>
              <w:rPr/>
            </w:pPr>
            <w:r>
              <w:rPr/>
              <w:t> </w:t>
            </w:r>
          </w:p>
        </w:tc>
        <w:tc>
          <w:tcPr>
            <w:tcW w:w="147" w:type="dxa"/>
            <w:tcBorders/>
            <w:vAlign w:val="center"/>
          </w:tcPr>
          <w:p>
            <w:pPr>
              <w:pStyle w:val="TableContents"/>
              <w:bidi w:val="0"/>
              <w:spacing w:lineRule="auto" w:line="300" w:before="0" w:after="0"/>
              <w:jc w:val="right"/>
              <w:rPr/>
            </w:pPr>
            <w:r>
              <w:rPr/>
              <w:t> </w:t>
            </w:r>
          </w:p>
        </w:tc>
        <w:tc>
          <w:tcPr>
            <w:tcW w:w="99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305,106</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4.53</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305,106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w:t>
            </w:r>
          </w:p>
        </w:tc>
      </w:tr>
      <w:tr>
        <w:trPr/>
        <w:tc>
          <w:tcPr>
            <w:tcW w:w="2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$11.82-$15.62</w:t>
            </w:r>
          </w:p>
        </w:tc>
        <w:tc>
          <w:tcPr>
            <w:tcW w:w="60" w:type="dxa"/>
            <w:tcBorders/>
            <w:shd w:fill="CCEEFF" w:val="clear"/>
            <w:vAlign w:val="center"/>
          </w:tcPr>
          <w:p>
            <w:pPr>
              <w:pStyle w:val="TableContents"/>
              <w:bidi w:val="0"/>
              <w:spacing w:lineRule="auto" w:line="300" w:before="0" w:after="0"/>
              <w:jc w:val="left"/>
              <w:rPr/>
            </w:pPr>
            <w:r>
              <w:rPr/>
              <w:t> </w:t>
            </w:r>
          </w:p>
        </w:tc>
        <w:tc>
          <w:tcPr>
            <w:tcW w:w="147" w:type="dxa"/>
            <w:tcBorders/>
            <w:shd w:fill="CCEEFF" w:val="clear"/>
            <w:vAlign w:val="center"/>
          </w:tcPr>
          <w:p>
            <w:pPr>
              <w:pStyle w:val="TableContents"/>
              <w:bidi w:val="0"/>
              <w:spacing w:lineRule="auto" w:line="300" w:before="0" w:after="0"/>
              <w:jc w:val="right"/>
              <w:rPr/>
            </w:pPr>
            <w:r>
              <w:rPr/>
              <w:t> </w:t>
            </w:r>
          </w:p>
        </w:tc>
        <w:tc>
          <w:tcPr>
            <w:tcW w:w="9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526,063</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723"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5.02</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525,313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5.02</w:t>
            </w:r>
          </w:p>
        </w:tc>
      </w:tr>
      <w:tr>
        <w:trPr/>
        <w:tc>
          <w:tcPr>
            <w:tcW w:w="2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$15.63 -$25.31</w:t>
            </w:r>
          </w:p>
        </w:tc>
        <w:tc>
          <w:tcPr>
            <w:tcW w:w="60" w:type="dxa"/>
            <w:tcBorders/>
            <w:vAlign w:val="center"/>
          </w:tcPr>
          <w:p>
            <w:pPr>
              <w:pStyle w:val="TableContents"/>
              <w:bidi w:val="0"/>
              <w:spacing w:lineRule="auto" w:line="300" w:before="0" w:after="0"/>
              <w:jc w:val="left"/>
              <w:rPr/>
            </w:pPr>
            <w:r>
              <w:rPr/>
              <w:t> </w:t>
            </w:r>
          </w:p>
        </w:tc>
        <w:tc>
          <w:tcPr>
            <w:tcW w:w="147" w:type="dxa"/>
            <w:tcBorders/>
            <w:vAlign w:val="center"/>
          </w:tcPr>
          <w:p>
            <w:pPr>
              <w:pStyle w:val="TableContents"/>
              <w:bidi w:val="0"/>
              <w:spacing w:lineRule="auto" w:line="300" w:before="0" w:after="0"/>
              <w:jc w:val="right"/>
              <w:rPr/>
            </w:pPr>
            <w:r>
              <w:rPr/>
              <w:t> </w:t>
            </w:r>
          </w:p>
        </w:tc>
        <w:tc>
          <w:tcPr>
            <w:tcW w:w="99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359,221</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w:t>
            </w:r>
          </w:p>
        </w:tc>
      </w:tr>
      <w:tr>
        <w:trPr/>
        <w:tc>
          <w:tcPr>
            <w:tcW w:w="2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$25.32-$27.87</w:t>
            </w:r>
          </w:p>
        </w:tc>
        <w:tc>
          <w:tcPr>
            <w:tcW w:w="60" w:type="dxa"/>
            <w:tcBorders/>
            <w:shd w:fill="CCEEFF" w:val="clear"/>
            <w:vAlign w:val="center"/>
          </w:tcPr>
          <w:p>
            <w:pPr>
              <w:pStyle w:val="TableContents"/>
              <w:bidi w:val="0"/>
              <w:spacing w:lineRule="auto" w:line="300" w:before="0" w:after="0"/>
              <w:jc w:val="left"/>
              <w:rPr/>
            </w:pPr>
            <w:r>
              <w:rPr/>
              <w:t> </w:t>
            </w:r>
          </w:p>
        </w:tc>
        <w:tc>
          <w:tcPr>
            <w:tcW w:w="147" w:type="dxa"/>
            <w:tcBorders/>
            <w:shd w:fill="CCEEFF" w:val="clear"/>
            <w:vAlign w:val="center"/>
          </w:tcPr>
          <w:p>
            <w:pPr>
              <w:pStyle w:val="TableContents"/>
              <w:bidi w:val="0"/>
              <w:spacing w:lineRule="auto" w:line="300" w:before="0" w:after="0"/>
              <w:jc w:val="right"/>
              <w:rPr/>
            </w:pPr>
            <w:r>
              <w:rPr/>
              <w:t> </w:t>
            </w:r>
          </w:p>
        </w:tc>
        <w:tc>
          <w:tcPr>
            <w:tcW w:w="9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363,263</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723"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5.21</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148,158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3.44</w:t>
            </w:r>
          </w:p>
        </w:tc>
      </w:tr>
      <w:tr>
        <w:trPr/>
        <w:tc>
          <w:tcPr>
            <w:tcW w:w="2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$27.88-$36.29</w:t>
            </w:r>
          </w:p>
        </w:tc>
        <w:tc>
          <w:tcPr>
            <w:tcW w:w="60" w:type="dxa"/>
            <w:tcBorders/>
            <w:vAlign w:val="center"/>
          </w:tcPr>
          <w:p>
            <w:pPr>
              <w:pStyle w:val="TableContents"/>
              <w:bidi w:val="0"/>
              <w:spacing w:lineRule="auto" w:line="300" w:before="0" w:after="0"/>
              <w:jc w:val="left"/>
              <w:rPr/>
            </w:pPr>
            <w:r>
              <w:rPr/>
              <w:t> </w:t>
            </w:r>
          </w:p>
        </w:tc>
        <w:tc>
          <w:tcPr>
            <w:tcW w:w="147" w:type="dxa"/>
            <w:tcBorders/>
            <w:vAlign w:val="center"/>
          </w:tcPr>
          <w:p>
            <w:pPr>
              <w:pStyle w:val="TableContents"/>
              <w:bidi w:val="0"/>
              <w:spacing w:lineRule="auto" w:line="300" w:before="0" w:after="0"/>
              <w:jc w:val="right"/>
              <w:rPr/>
            </w:pPr>
            <w:r>
              <w:rPr/>
              <w:t> </w:t>
            </w:r>
          </w:p>
        </w:tc>
        <w:tc>
          <w:tcPr>
            <w:tcW w:w="99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312,238</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5.73</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108,912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5.74</w:t>
            </w:r>
          </w:p>
        </w:tc>
      </w:tr>
      <w:tr>
        <w:trPr/>
        <w:tc>
          <w:tcPr>
            <w:tcW w:w="2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$36.30-$38.29</w:t>
            </w:r>
          </w:p>
        </w:tc>
        <w:tc>
          <w:tcPr>
            <w:tcW w:w="60" w:type="dxa"/>
            <w:tcBorders/>
            <w:shd w:fill="CCEEFF" w:val="clear"/>
            <w:vAlign w:val="center"/>
          </w:tcPr>
          <w:p>
            <w:pPr>
              <w:pStyle w:val="TableContents"/>
              <w:bidi w:val="0"/>
              <w:spacing w:lineRule="auto" w:line="300" w:before="0" w:after="0"/>
              <w:jc w:val="left"/>
              <w:rPr/>
            </w:pPr>
            <w:r>
              <w:rPr/>
              <w:t> </w:t>
            </w:r>
          </w:p>
        </w:tc>
        <w:tc>
          <w:tcPr>
            <w:tcW w:w="147" w:type="dxa"/>
            <w:tcBorders/>
            <w:shd w:fill="CCEEFF" w:val="clear"/>
            <w:vAlign w:val="center"/>
          </w:tcPr>
          <w:p>
            <w:pPr>
              <w:pStyle w:val="TableContents"/>
              <w:bidi w:val="0"/>
              <w:spacing w:lineRule="auto" w:line="300" w:before="0" w:after="0"/>
              <w:jc w:val="right"/>
              <w:rPr/>
            </w:pPr>
            <w:r>
              <w:rPr/>
              <w:t> </w:t>
            </w:r>
          </w:p>
        </w:tc>
        <w:tc>
          <w:tcPr>
            <w:tcW w:w="9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412,933</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723"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6.14</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6.14</w:t>
            </w:r>
          </w:p>
        </w:tc>
      </w:tr>
      <w:tr>
        <w:trPr/>
        <w:tc>
          <w:tcPr>
            <w:tcW w:w="2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$38.30-$84.27</w:t>
            </w:r>
          </w:p>
        </w:tc>
        <w:tc>
          <w:tcPr>
            <w:tcW w:w="60" w:type="dxa"/>
            <w:tcBorders/>
            <w:vAlign w:val="center"/>
          </w:tcPr>
          <w:p>
            <w:pPr>
              <w:pStyle w:val="TableContents"/>
              <w:bidi w:val="0"/>
              <w:spacing w:lineRule="auto" w:line="300" w:before="0" w:after="0"/>
              <w:jc w:val="left"/>
              <w:rPr/>
            </w:pPr>
            <w:r>
              <w:rPr/>
              <w:t> </w:t>
            </w:r>
          </w:p>
        </w:tc>
        <w:tc>
          <w:tcPr>
            <w:tcW w:w="147" w:type="dxa"/>
            <w:tcBorders/>
            <w:vAlign w:val="center"/>
          </w:tcPr>
          <w:p>
            <w:pPr>
              <w:pStyle w:val="TableContents"/>
              <w:bidi w:val="0"/>
              <w:spacing w:lineRule="auto" w:line="300" w:before="0" w:after="0"/>
              <w:jc w:val="right"/>
              <w:rPr/>
            </w:pPr>
            <w:r>
              <w:rPr/>
              <w:t> </w:t>
            </w:r>
          </w:p>
        </w:tc>
        <w:tc>
          <w:tcPr>
            <w:tcW w:w="99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272,106</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4.03</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204,240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3.87</w:t>
            </w:r>
          </w:p>
        </w:tc>
      </w:tr>
      <w:tr>
        <w:trPr/>
        <w:tc>
          <w:tcPr>
            <w:tcW w:w="2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$84.28-$227.06</w:t>
            </w:r>
          </w:p>
        </w:tc>
        <w:tc>
          <w:tcPr>
            <w:tcW w:w="60" w:type="dxa"/>
            <w:tcBorders/>
            <w:shd w:fill="CCEEFF" w:val="clear"/>
            <w:vAlign w:val="center"/>
          </w:tcPr>
          <w:p>
            <w:pPr>
              <w:pStyle w:val="TableContents"/>
              <w:bidi w:val="0"/>
              <w:spacing w:lineRule="auto" w:line="300" w:before="0" w:after="0"/>
              <w:jc w:val="left"/>
              <w:rPr/>
            </w:pPr>
            <w:r>
              <w:rPr/>
              <w:t> </w:t>
            </w:r>
          </w:p>
        </w:tc>
        <w:tc>
          <w:tcPr>
            <w:tcW w:w="147" w:type="dxa"/>
            <w:tcBorders/>
            <w:shd w:fill="CCEEFF" w:val="clear"/>
            <w:vAlign w:val="center"/>
          </w:tcPr>
          <w:p>
            <w:pPr>
              <w:pStyle w:val="TableContents"/>
              <w:bidi w:val="0"/>
              <w:spacing w:lineRule="auto" w:line="300" w:before="0" w:after="0"/>
              <w:jc w:val="right"/>
              <w:rPr/>
            </w:pPr>
            <w:r>
              <w:rPr/>
              <w:t> </w:t>
            </w:r>
          </w:p>
        </w:tc>
        <w:tc>
          <w:tcPr>
            <w:tcW w:w="9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235,457</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723"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5.12</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5.11</w:t>
            </w:r>
          </w:p>
        </w:tc>
      </w:tr>
      <w:tr>
        <w:trPr/>
        <w:tc>
          <w:tcPr>
            <w:tcW w:w="2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$227.07-$243.50</w:t>
            </w:r>
          </w:p>
        </w:tc>
        <w:tc>
          <w:tcPr>
            <w:tcW w:w="60" w:type="dxa"/>
            <w:tcBorders/>
            <w:vAlign w:val="center"/>
          </w:tcPr>
          <w:p>
            <w:pPr>
              <w:pStyle w:val="TableContents"/>
              <w:bidi w:val="0"/>
              <w:spacing w:lineRule="auto" w:line="300" w:before="0" w:after="0"/>
              <w:jc w:val="left"/>
              <w:rPr/>
            </w:pPr>
            <w:r>
              <w:rPr/>
              <w:t> </w:t>
            </w:r>
          </w:p>
        </w:tc>
        <w:tc>
          <w:tcPr>
            <w:tcW w:w="147" w:type="dxa"/>
            <w:tcBorders>
              <w:bottom w:val="single" w:sz="12" w:space="0" w:color="000000"/>
            </w:tcBorders>
            <w:tcMar>
              <w:bottom w:w="28" w:type="dxa"/>
            </w:tcMar>
            <w:vAlign w:val="center"/>
          </w:tcPr>
          <w:p>
            <w:pPr>
              <w:pStyle w:val="TableContents"/>
              <w:bidi w:val="0"/>
              <w:spacing w:lineRule="auto" w:line="300" w:before="0" w:after="0"/>
              <w:jc w:val="right"/>
              <w:rPr/>
            </w:pPr>
            <w:r>
              <w:rPr/>
              <w:t> </w:t>
            </w:r>
          </w:p>
        </w:tc>
        <w:tc>
          <w:tcPr>
            <w:tcW w:w="99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350,480</w:t>
            </w:r>
          </w:p>
        </w:tc>
        <w:tc>
          <w:tcPr>
            <w:tcW w:w="60" w:type="dxa"/>
            <w:tcBorders/>
            <w:vAlign w:val="center"/>
          </w:tcPr>
          <w:p>
            <w:pPr>
              <w:pStyle w:val="TableContents"/>
              <w:bidi w:val="0"/>
              <w:spacing w:before="0" w:after="283"/>
              <w:jc w:val="left"/>
              <w:rPr/>
            </w:pPr>
            <w:r>
              <w:rPr/>
              <w:t> </w:t>
            </w:r>
          </w:p>
        </w:tc>
        <w:tc>
          <w:tcPr>
            <w:tcW w:w="3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23" w:type="dxa"/>
            <w:gridSpan w:val="2"/>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4.41</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215,706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4.39</w:t>
            </w:r>
          </w:p>
        </w:tc>
      </w:tr>
      <w:tr>
        <w:trPr/>
        <w:tc>
          <w:tcPr>
            <w:tcW w:w="2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lineRule="auto" w:line="300" w:before="0" w:after="0"/>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 </w:t>
            </w:r>
          </w:p>
        </w:tc>
        <w:tc>
          <w:tcPr>
            <w:tcW w:w="99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3,412,281</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gridSpan w:val="2"/>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2,324,545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4.18</w:t>
            </w:r>
          </w:p>
        </w:tc>
      </w:tr>
      <w:tr>
        <w:trPr/>
        <w:tc>
          <w:tcPr>
            <w:tcW w:w="2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Aggregate intrinsic value</w:t>
            </w:r>
          </w:p>
        </w:tc>
        <w:tc>
          <w:tcPr>
            <w:tcW w:w="60" w:type="dxa"/>
            <w:tcBorders/>
            <w:vAlign w:val="center"/>
          </w:tcPr>
          <w:p>
            <w:pPr>
              <w:pStyle w:val="TableContents"/>
              <w:bidi w:val="0"/>
              <w:spacing w:lineRule="auto" w:line="300" w:before="0" w:after="0"/>
              <w:jc w:val="left"/>
              <w:rPr/>
            </w:pPr>
            <w:r>
              <w:rPr/>
              <w:t> </w:t>
            </w:r>
          </w:p>
        </w:tc>
        <w:tc>
          <w:tcPr>
            <w:tcW w:w="14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22,065</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before="0" w:after="0"/>
        <w:ind w:left="747" w:right="0" w:hanging="0"/>
        <w:jc w:val="both"/>
        <w:rPr>
          <w:rFonts w:ascii="Times New Roman;Times;serif" w:hAnsi="Times New Roman;Times;serif"/>
          <w:sz w:val="20"/>
        </w:rPr>
      </w:pPr>
      <w:r>
        <w:rPr>
          <w:rFonts w:ascii="Times New Roman;Times;serif" w:hAnsi="Times New Roman;Times;serif"/>
          <w:sz w:val="20"/>
        </w:rPr>
        <w:t>Intrinsic value represents the potential amount receivable by the option holders had all option holders exercised their share options as of such date.</w:t>
      </w:r>
    </w:p>
    <w:p>
      <w:pPr>
        <w:pStyle w:val="TextBody"/>
        <w:bidi w:val="0"/>
        <w:spacing w:lineRule="auto" w:line="300" w:before="0" w:after="0"/>
        <w:ind w:left="720" w:right="0" w:hanging="152"/>
        <w:jc w:val="both"/>
        <w:rPr/>
      </w:pPr>
      <w:r>
        <w:rPr/>
        <w:t> </w:t>
      </w:r>
    </w:p>
    <w:p>
      <w:pPr>
        <w:pStyle w:val="TextBody"/>
        <w:bidi w:val="0"/>
        <w:spacing w:lineRule="auto" w:line="300" w:before="0" w:after="0"/>
        <w:ind w:left="747" w:right="0" w:hanging="0"/>
        <w:jc w:val="both"/>
        <w:rPr>
          <w:rFonts w:ascii="Times New Roman;Times;serif" w:hAnsi="Times New Roman;Times;serif"/>
          <w:sz w:val="20"/>
        </w:rPr>
      </w:pPr>
      <w:r>
        <w:rPr>
          <w:rFonts w:ascii="Times New Roman;Times;serif" w:hAnsi="Times New Roman;Times;serif"/>
          <w:sz w:val="20"/>
        </w:rPr>
        <w:t>The aggregate intrinsic value of the exercised share options was $8,146, $10,873 and $142,419 for the years ended December 31, 2023, 2022 and 2021, respectively.</w:t>
      </w:r>
    </w:p>
    <w:p>
      <w:pPr>
        <w:pStyle w:val="TextBody"/>
        <w:bidi w:val="0"/>
        <w:spacing w:lineRule="auto" w:line="300" w:before="0" w:after="0"/>
        <w:ind w:left="720" w:right="0" w:hanging="152"/>
        <w:jc w:val="both"/>
        <w:rPr/>
      </w:pPr>
      <w:r>
        <w:rPr/>
        <w:t> </w:t>
      </w:r>
    </w:p>
    <w:p>
      <w:pPr>
        <w:pStyle w:val="TextBody"/>
        <w:bidi w:val="0"/>
        <w:spacing w:lineRule="auto" w:line="300"/>
        <w:ind w:left="747" w:right="0" w:hanging="0"/>
        <w:jc w:val="both"/>
        <w:rPr>
          <w:rFonts w:ascii="Times New Roman;Times;serif" w:hAnsi="Times New Roman;Times;serif"/>
          <w:sz w:val="20"/>
        </w:rPr>
      </w:pPr>
      <w:r>
        <w:rPr>
          <w:rFonts w:ascii="Times New Roman;Times;serif" w:hAnsi="Times New Roman;Times;serif"/>
          <w:sz w:val="20"/>
        </w:rPr>
        <w:t>The grant-date fair value of vested share options was $20,802, $23,346 and $25,536 for the years ended December 31, 2023, 2022 and 2021, respectively.</w:t>
      </w:r>
    </w:p>
    <w:p>
      <w:pPr>
        <w:pStyle w:val="TextBody"/>
        <w:bidi w:val="0"/>
        <w:spacing w:before="0" w:after="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- 32</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ind w:left="900" w:right="0" w:hanging="152"/>
        <w:jc w:val="both"/>
        <w:rPr>
          <w:rFonts w:ascii="Times New Roman;Times;serif" w:hAnsi="Times New Roman;Times;serif"/>
          <w:sz w:val="20"/>
        </w:rPr>
      </w:pPr>
      <w:r>
        <w:rPr>
          <w:rFonts w:ascii="Times New Roman;Times;serif" w:hAnsi="Times New Roman;Times;serif"/>
          <w:sz w:val="20"/>
        </w:rPr>
        <w:t>The following table summarizes the status of RSUs as of and for the year ended:</w:t>
      </w:r>
    </w:p>
    <w:p>
      <w:pPr>
        <w:pStyle w:val="TextBody"/>
        <w:pBdr/>
        <w:bidi w:val="0"/>
        <w:spacing w:before="0" w:after="0"/>
        <w:jc w:val="left"/>
        <w:rPr/>
      </w:pPr>
      <w:r>
        <w:rPr/>
        <w:t> </w:t>
      </w:r>
    </w:p>
    <w:tbl>
      <w:tblPr>
        <w:tblW w:w="5389" w:type="dxa"/>
        <w:jc w:val="left"/>
        <w:tblInd w:w="720" w:type="dxa"/>
        <w:tblLayout w:type="fixed"/>
        <w:tblCellMar>
          <w:top w:w="0" w:type="dxa"/>
          <w:left w:w="0" w:type="dxa"/>
          <w:bottom w:w="0" w:type="dxa"/>
          <w:right w:w="0" w:type="dxa"/>
        </w:tblCellMar>
      </w:tblPr>
      <w:tblGrid>
        <w:gridCol w:w="3305"/>
        <w:gridCol w:w="60"/>
        <w:gridCol w:w="61"/>
        <w:gridCol w:w="871"/>
        <w:gridCol w:w="82"/>
        <w:gridCol w:w="61"/>
        <w:gridCol w:w="97"/>
        <w:gridCol w:w="792"/>
        <w:gridCol w:w="60"/>
      </w:tblGrid>
      <w:tr>
        <w:trPr/>
        <w:tc>
          <w:tcPr>
            <w:tcW w:w="330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center"/>
              <w:rPr/>
            </w:pPr>
            <w:r>
              <w:rPr/>
              <w:t> </w:t>
            </w:r>
          </w:p>
        </w:tc>
        <w:tc>
          <w:tcPr>
            <w:tcW w:w="93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RSUs</w:t>
            </w:r>
          </w:p>
        </w:tc>
        <w:tc>
          <w:tcPr>
            <w:tcW w:w="82"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grant date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1,136,128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96.49</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1,206,151</w:t>
            </w:r>
          </w:p>
        </w:tc>
        <w:tc>
          <w:tcPr>
            <w:tcW w:w="8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35.80</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(595,882</w:t>
            </w:r>
          </w:p>
        </w:tc>
        <w:tc>
          <w:tcPr>
            <w:tcW w:w="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79.38</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(269,579</w:t>
            </w:r>
          </w:p>
        </w:tc>
        <w:tc>
          <w:tcPr>
            <w:tcW w:w="8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1"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75.33</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at the end of the year</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1,476,818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5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Employee Share Purchase Plan:</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August 2020, the Company adopted the 2020 Employee Share Purchase Plan (the “ESPP”). As of December 31, 2023, a total of 1,004,211 shares were reserved for issuance under the ESPP. In addition, on the first day of each calendar year beginning on January 1, 2022 and ending on and including January 1, 2030, the number of shares available for issuance under the ESPP will be increased by the lesser of 1% of the shares outstanding on the final day of the immediately preceding calendar year, as determined on a fully diluted basis, and such smaller number of shares as determined by the Company’s board of directors. According to the ESPP, eligible employees may use up to 15% of their salaries to purchase ordinary shares. The price of an ordinary share purchased under the ESPP is equal to 85% of the lower of the fair market value of the ordinary share on the beginning of each offering period or on the purchase date.</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2023, 157,222 ordinary shares had been issued under the ESPP. The ESPP is compensatory and, as such, results in recognition of compensation cost.</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fair value of ESPP was estimated on the grant date based on the following weighted average assumptions for the years ended:</w:t>
      </w:r>
    </w:p>
    <w:p>
      <w:pPr>
        <w:pStyle w:val="TextBody"/>
        <w:bidi w:val="0"/>
        <w:spacing w:lineRule="auto" w:line="300" w:before="0" w:after="0"/>
        <w:jc w:val="both"/>
        <w:rPr/>
      </w:pPr>
      <w:r>
        <w:rPr/>
        <w:t> </w:t>
      </w:r>
    </w:p>
    <w:tbl>
      <w:tblPr>
        <w:tblW w:w="8060" w:type="dxa"/>
        <w:jc w:val="left"/>
        <w:tblInd w:w="720" w:type="dxa"/>
        <w:tblLayout w:type="fixed"/>
        <w:tblCellMar>
          <w:top w:w="0" w:type="dxa"/>
          <w:left w:w="0" w:type="dxa"/>
          <w:bottom w:w="0" w:type="dxa"/>
          <w:right w:w="0" w:type="dxa"/>
        </w:tblCellMar>
      </w:tblPr>
      <w:tblGrid>
        <w:gridCol w:w="4070"/>
        <w:gridCol w:w="60"/>
        <w:gridCol w:w="60"/>
        <w:gridCol w:w="1115"/>
        <w:gridCol w:w="60"/>
        <w:gridCol w:w="60"/>
        <w:gridCol w:w="60"/>
        <w:gridCol w:w="1115"/>
        <w:gridCol w:w="60"/>
        <w:gridCol w:w="60"/>
        <w:gridCol w:w="60"/>
        <w:gridCol w:w="1220"/>
        <w:gridCol w:w="60"/>
      </w:tblGrid>
      <w:tr>
        <w:trPr/>
        <w:tc>
          <w:tcPr>
            <w:tcW w:w="40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387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lineRule="auto" w:line="300" w:before="0" w:after="0"/>
              <w:jc w:val="left"/>
              <w:rPr/>
            </w:pPr>
            <w:r>
              <w:rPr/>
              <w:t> </w:t>
            </w:r>
          </w:p>
        </w:tc>
      </w:tr>
      <w:tr>
        <w:trPr/>
        <w:tc>
          <w:tcPr>
            <w:tcW w:w="40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lineRule="auto" w:line="300" w:before="0" w:after="0"/>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1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66.4-97.6%</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1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86.4-97.6%</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22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86.0-86.4%</w:t>
            </w:r>
          </w:p>
        </w:tc>
        <w:tc>
          <w:tcPr>
            <w:tcW w:w="60" w:type="dxa"/>
            <w:tcBorders/>
            <w:shd w:fill="CCEEFF" w:val="clear"/>
            <w:vAlign w:val="center"/>
          </w:tcPr>
          <w:p>
            <w:pPr>
              <w:pStyle w:val="TableContents"/>
              <w:bidi w:val="0"/>
              <w:spacing w:lineRule="auto" w:line="300" w:before="0" w:after="0"/>
              <w:jc w:val="left"/>
              <w:rPr/>
            </w:pPr>
            <w:r>
              <w:rPr/>
              <w:t> </w:t>
            </w:r>
          </w:p>
        </w:tc>
      </w:tr>
      <w:tr>
        <w:trPr/>
        <w:tc>
          <w:tcPr>
            <w:tcW w:w="40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11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0.5</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11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0.5</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2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0.5</w:t>
            </w:r>
          </w:p>
        </w:tc>
        <w:tc>
          <w:tcPr>
            <w:tcW w:w="60" w:type="dxa"/>
            <w:tcBorders/>
            <w:vAlign w:val="center"/>
          </w:tcPr>
          <w:p>
            <w:pPr>
              <w:pStyle w:val="TableContents"/>
              <w:bidi w:val="0"/>
              <w:spacing w:lineRule="auto" w:line="300" w:before="0" w:after="0"/>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1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4.24-4.96%</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1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0.08-4.24%</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22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0.03-0.08%</w:t>
            </w:r>
          </w:p>
        </w:tc>
        <w:tc>
          <w:tcPr>
            <w:tcW w:w="60" w:type="dxa"/>
            <w:tcBorders/>
            <w:shd w:fill="CCEEFF" w:val="clear"/>
            <w:vAlign w:val="center"/>
          </w:tcPr>
          <w:p>
            <w:pPr>
              <w:pStyle w:val="TableContents"/>
              <w:bidi w:val="0"/>
              <w:spacing w:lineRule="auto" w:line="300" w:before="0" w:after="0"/>
              <w:jc w:val="left"/>
              <w:rPr/>
            </w:pPr>
            <w:r>
              <w:rPr/>
              <w:t> </w:t>
            </w:r>
          </w:p>
        </w:tc>
      </w:tr>
      <w:tr>
        <w:trPr/>
        <w:tc>
          <w:tcPr>
            <w:tcW w:w="40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Estimated fair value of underlying ordinary shares</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11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26.40-206.07</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11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35.36-206.07</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2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131.88-206.07</w:t>
            </w:r>
          </w:p>
        </w:tc>
        <w:tc>
          <w:tcPr>
            <w:tcW w:w="60" w:type="dxa"/>
            <w:tcBorders/>
            <w:vAlign w:val="center"/>
          </w:tcPr>
          <w:p>
            <w:pPr>
              <w:pStyle w:val="TableContents"/>
              <w:bidi w:val="0"/>
              <w:spacing w:lineRule="auto" w:line="300" w:before="0" w:after="0"/>
              <w:jc w:val="left"/>
              <w:rPr/>
            </w:pPr>
            <w:r>
              <w:rPr/>
              <w:t> </w:t>
            </w:r>
          </w:p>
        </w:tc>
      </w:tr>
      <w:tr>
        <w:trPr/>
        <w:tc>
          <w:tcPr>
            <w:tcW w:w="40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1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11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lineRule="auto" w:line="300" w:before="0" w:after="0"/>
              <w:jc w:val="left"/>
              <w:rPr/>
            </w:pPr>
            <w:r>
              <w:rPr/>
              <w:t> </w:t>
            </w:r>
          </w:p>
        </w:tc>
        <w:tc>
          <w:tcPr>
            <w:tcW w:w="122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lineRule="auto" w:line="300" w:before="0" w:after="0"/>
              <w:jc w:val="left"/>
              <w:rPr/>
            </w:pPr>
            <w:r>
              <w:rPr/>
              <w:t> </w:t>
            </w:r>
          </w:p>
        </w:tc>
      </w:tr>
    </w:tbl>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Share-based compensation costs are recorded in the consolidated statements of operations for the years ended:</w:t>
      </w:r>
    </w:p>
    <w:p>
      <w:pPr>
        <w:pStyle w:val="TextBody"/>
        <w:bidi w:val="0"/>
        <w:spacing w:before="0" w:after="0"/>
        <w:ind w:left="720" w:right="0" w:hanging="0"/>
        <w:jc w:val="left"/>
        <w:rPr/>
      </w:pPr>
      <w:r>
        <w:rPr/>
        <w:t> </w:t>
      </w:r>
    </w:p>
    <w:tbl>
      <w:tblPr>
        <w:tblW w:w="4715" w:type="dxa"/>
        <w:jc w:val="left"/>
        <w:tblInd w:w="72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125"/>
        <w:gridCol w:w="590"/>
        <w:gridCol w:w="60"/>
      </w:tblGrid>
      <w:tr>
        <w:trPr/>
        <w:tc>
          <w:tcPr>
            <w:tcW w:w="22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1,436</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20,008</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14,106</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19,857</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before="0" w:after="0"/>
        <w:ind w:left="1440" w:right="0" w:hanging="0"/>
        <w:jc w:val="left"/>
        <w:rPr>
          <w:rFonts w:ascii="Times New Roman;Times;serif" w:hAnsi="Times New Roman;Times;serif"/>
          <w:sz w:val="20"/>
        </w:rPr>
      </w:pPr>
      <w:r>
        <w:rPr>
          <w:rFonts w:ascii="Times New Roman;Times;serif" w:hAnsi="Times New Roman;Times;serif"/>
          <w:sz w:val="20"/>
        </w:rPr>
        <w:t>The total unrecognized share-based compensation cost as of December 31, 2023 was $ 112,772, which will be recognized over a weighted-average period of 2.21 years.</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15: - Financial income (expenses), net</w:t>
      </w:r>
    </w:p>
    <w:p>
      <w:pPr>
        <w:pStyle w:val="TextBody"/>
        <w:bidi w:val="0"/>
        <w:spacing w:lineRule="auto" w:line="300" w:before="0" w:after="0"/>
        <w:jc w:val="left"/>
        <w:rPr/>
      </w:pPr>
      <w:r>
        <w:rPr/>
        <w:t> </w:t>
      </w:r>
    </w:p>
    <w:tbl>
      <w:tblPr>
        <w:tblW w:w="9155" w:type="dxa"/>
        <w:jc w:val="left"/>
        <w:tblInd w:w="720" w:type="dxa"/>
        <w:tblLayout w:type="fixed"/>
        <w:tblCellMar>
          <w:top w:w="0" w:type="dxa"/>
          <w:left w:w="0" w:type="dxa"/>
          <w:bottom w:w="0" w:type="dxa"/>
          <w:right w:w="0" w:type="dxa"/>
        </w:tblCellMar>
      </w:tblPr>
      <w:tblGrid>
        <w:gridCol w:w="6530"/>
        <w:gridCol w:w="60"/>
        <w:gridCol w:w="125"/>
        <w:gridCol w:w="590"/>
        <w:gridCol w:w="80"/>
        <w:gridCol w:w="60"/>
        <w:gridCol w:w="125"/>
        <w:gridCol w:w="590"/>
        <w:gridCol w:w="80"/>
        <w:gridCol w:w="60"/>
        <w:gridCol w:w="125"/>
        <w:gridCol w:w="650"/>
        <w:gridCol w:w="80"/>
      </w:tblGrid>
      <w:tr>
        <w:trPr/>
        <w:tc>
          <w:tcPr>
            <w:tcW w:w="65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4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Bank charges and other financial expenses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discount and issuance costs of convertible notes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(20,029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Derivatives and hedging</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Exchange rate gain (loss), net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premium and accretion of discount on marketable securities, net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income, net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12,866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9,826</w:t>
            </w:r>
          </w:p>
        </w:tc>
        <w:tc>
          <w:tcPr>
            <w:tcW w:w="8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16: - Income taxes</w:t>
      </w:r>
    </w:p>
    <w:p>
      <w:pPr>
        <w:pStyle w:val="TextBody"/>
        <w:bidi w:val="0"/>
        <w:spacing w:lineRule="auto" w:line="300" w:before="0" w:after="0"/>
        <w:jc w:val="left"/>
        <w:rPr/>
      </w:pPr>
      <w:r>
        <w:rPr/>
        <w:t> </w:t>
      </w:r>
    </w:p>
    <w:p>
      <w:pPr>
        <w:pStyle w:val="TextBody"/>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Fiver International Ltd.’s subsidiaries are separately taxed under the domestic tax laws of the jurisdiction of incorporation of each entity.</w:t>
      </w:r>
    </w:p>
    <w:p>
      <w:pPr>
        <w:pStyle w:val="TextBody"/>
        <w:bidi w:val="0"/>
        <w:spacing w:lineRule="auto" w:line="300"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155"/>
        <w:gridCol w:w="284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(loss) before income taxes:</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following are the domestic and foreign components of the Company’s income (loss) before income taxes for the years ended:</w:t>
      </w:r>
    </w:p>
    <w:p>
      <w:pPr>
        <w:pStyle w:val="TextBody"/>
        <w:bidi w:val="0"/>
        <w:spacing w:lineRule="auto" w:line="300" w:before="0" w:after="0"/>
        <w:ind w:left="720" w:right="0" w:hanging="0"/>
        <w:jc w:val="left"/>
        <w:rPr/>
      </w:pPr>
      <w:r>
        <w:rPr/>
        <w:t> </w:t>
      </w:r>
    </w:p>
    <w:tbl>
      <w:tblPr>
        <w:tblW w:w="3425" w:type="dxa"/>
        <w:jc w:val="left"/>
        <w:tblInd w:w="720" w:type="dxa"/>
        <w:tblLayout w:type="fixed"/>
        <w:tblCellMar>
          <w:top w:w="0" w:type="dxa"/>
          <w:left w:w="0" w:type="dxa"/>
          <w:bottom w:w="0" w:type="dxa"/>
          <w:right w:w="0" w:type="dxa"/>
        </w:tblCellMar>
      </w:tblPr>
      <w:tblGrid>
        <w:gridCol w:w="785"/>
        <w:gridCol w:w="60"/>
        <w:gridCol w:w="125"/>
        <w:gridCol w:w="545"/>
        <w:gridCol w:w="80"/>
        <w:gridCol w:w="60"/>
        <w:gridCol w:w="125"/>
        <w:gridCol w:w="650"/>
        <w:gridCol w:w="80"/>
        <w:gridCol w:w="60"/>
        <w:gridCol w:w="125"/>
        <w:gridCol w:w="650"/>
        <w:gridCol w:w="80"/>
      </w:tblGrid>
      <w:tr>
        <w:trPr/>
        <w:tc>
          <w:tcPr>
            <w:tcW w:w="7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50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(62,905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(58,166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(3,980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(8,005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(6,687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(70,910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(64,853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0" w:right="0" w:firstLine="360"/>
        <w:jc w:val="left"/>
        <w:rPr/>
      </w:pPr>
      <w:r>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0" w:right="0" w:firstLine="709"/>
        <w:jc w:val="left"/>
        <w:rPr>
          <w:rFonts w:ascii="Times New Roman;Times;serif" w:hAnsi="Times New Roman;Times;serif"/>
          <w:sz w:val="20"/>
        </w:rPr>
      </w:pPr>
      <w:r>
        <w:rPr>
          <w:rFonts w:ascii="Times New Roman;Times;serif" w:hAnsi="Times New Roman;Times;serif"/>
          <w:sz w:val="20"/>
        </w:rPr>
        <w:t>The following are the domestic and foreign components of the Company’s income taxes for the years ended:</w:t>
      </w:r>
    </w:p>
    <w:p>
      <w:pPr>
        <w:pStyle w:val="TextBody"/>
        <w:bidi w:val="0"/>
        <w:spacing w:lineRule="auto" w:line="300" w:before="0" w:after="0"/>
        <w:ind w:left="0" w:right="0" w:firstLine="720"/>
        <w:jc w:val="left"/>
        <w:rPr/>
      </w:pPr>
      <w:r>
        <w:rPr/>
        <w:t> </w:t>
      </w:r>
    </w:p>
    <w:tbl>
      <w:tblPr>
        <w:tblW w:w="2695" w:type="dxa"/>
        <w:jc w:val="left"/>
        <w:tblInd w:w="720" w:type="dxa"/>
        <w:tblLayout w:type="fixed"/>
        <w:tblCellMar>
          <w:top w:w="0" w:type="dxa"/>
          <w:left w:w="0" w:type="dxa"/>
          <w:bottom w:w="0" w:type="dxa"/>
          <w:right w:w="0" w:type="dxa"/>
        </w:tblCellMar>
      </w:tblPr>
      <w:tblGrid>
        <w:gridCol w:w="785"/>
        <w:gridCol w:w="60"/>
        <w:gridCol w:w="125"/>
        <w:gridCol w:w="485"/>
        <w:gridCol w:w="60"/>
        <w:gridCol w:w="60"/>
        <w:gridCol w:w="125"/>
        <w:gridCol w:w="335"/>
        <w:gridCol w:w="80"/>
        <w:gridCol w:w="60"/>
        <w:gridCol w:w="125"/>
        <w:gridCol w:w="335"/>
        <w:gridCol w:w="60"/>
      </w:tblGrid>
      <w:tr>
        <w:trPr/>
        <w:tc>
          <w:tcPr>
            <w:tcW w:w="7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9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6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firstLine="360"/>
        <w:jc w:val="left"/>
        <w:rPr/>
      </w:pPr>
      <w:r>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8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Deferred income taxes:</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Deferred income taxes reflect the net tax effects of temporary differences between the carrying amounts of assets and liabilities for financial reporting purposes and the amounts used for income tax purposes.</w:t>
      </w:r>
    </w:p>
    <w:p>
      <w:pPr>
        <w:pStyle w:val="TextBody"/>
        <w:bidi w:val="0"/>
        <w:spacing w:lineRule="auto" w:line="300" w:before="0" w:after="0"/>
        <w:ind w:left="709" w:right="0" w:hanging="0"/>
        <w:jc w:val="both"/>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- 35</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709" w:right="0" w:hanging="0"/>
        <w:jc w:val="both"/>
        <w:rPr>
          <w:rFonts w:ascii="Times New Roman;Times;serif" w:hAnsi="Times New Roman;Times;serif"/>
          <w:sz w:val="20"/>
        </w:rPr>
      </w:pPr>
      <w:r>
        <w:rPr>
          <w:rFonts w:ascii="Times New Roman;Times;serif" w:hAnsi="Times New Roman;Times;serif"/>
          <w:sz w:val="20"/>
        </w:rPr>
        <w:t>The principal components of the Company’s deferred tax assets are as follows for the years ended:</w:t>
      </w:r>
    </w:p>
    <w:p>
      <w:pPr>
        <w:pStyle w:val="TextBody"/>
        <w:bidi w:val="0"/>
        <w:spacing w:before="0" w:after="0"/>
        <w:ind w:left="720" w:right="0" w:hanging="0"/>
        <w:jc w:val="left"/>
        <w:rPr/>
      </w:pPr>
      <w:r>
        <w:rPr/>
        <w:t> </w:t>
      </w:r>
    </w:p>
    <w:tbl>
      <w:tblPr>
        <w:tblW w:w="6035" w:type="dxa"/>
        <w:jc w:val="left"/>
        <w:tblInd w:w="720" w:type="dxa"/>
        <w:tblLayout w:type="fixed"/>
        <w:tblCellMar>
          <w:top w:w="0" w:type="dxa"/>
          <w:left w:w="0" w:type="dxa"/>
          <w:bottom w:w="0" w:type="dxa"/>
          <w:right w:w="0" w:type="dxa"/>
        </w:tblCellMar>
      </w:tblPr>
      <w:tblGrid>
        <w:gridCol w:w="4145"/>
        <w:gridCol w:w="60"/>
        <w:gridCol w:w="140"/>
        <w:gridCol w:w="650"/>
        <w:gridCol w:w="95"/>
        <w:gridCol w:w="60"/>
        <w:gridCol w:w="140"/>
        <w:gridCol w:w="650"/>
        <w:gridCol w:w="95"/>
      </w:tblGrid>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3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79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38,850</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expenses carryforward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3,989</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7,369</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12,674</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2,173</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deferred tax asset before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65,055</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(30,718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(61,779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 deferred tax asset after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1,853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3,276</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ROU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(2,097</w:t>
            </w:r>
          </w:p>
        </w:tc>
        <w:tc>
          <w:tcPr>
            <w:tcW w:w="95"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w:t>
            </w:r>
          </w:p>
        </w:tc>
        <w:tc>
          <w:tcPr>
            <w:tcW w:w="95"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Acquired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(1,060</w:t>
            </w:r>
          </w:p>
        </w:tc>
        <w:tc>
          <w:tcPr>
            <w:tcW w:w="95"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95"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(3,276</w:t>
            </w:r>
          </w:p>
        </w:tc>
        <w:tc>
          <w:tcPr>
            <w:tcW w:w="95"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Based on the available evidence, management believes that it is more likely than not that certain of its deferred tax assets relating to net operating loss carryforwards and other temporary differences will not be realized and accordingly, a valuation allowance has been provided.</w:t>
      </w:r>
    </w:p>
    <w:p>
      <w:pPr>
        <w:pStyle w:val="TextBody"/>
        <w:bidi w:val="0"/>
        <w:spacing w:lineRule="auto" w:line="300" w:before="0" w:after="0"/>
        <w:ind w:left="720" w:right="0" w:hanging="0"/>
        <w:jc w:val="both"/>
        <w:rPr/>
      </w:pPr>
      <w:r>
        <w:rPr/>
        <w:t> </w:t>
      </w:r>
    </w:p>
    <w:p>
      <w:pPr>
        <w:pStyle w:val="TextBody"/>
        <w:bidi w:val="0"/>
        <w:spacing w:lineRule="auto" w:line="300" w:before="200" w:after="283"/>
        <w:jc w:val="center"/>
        <w:rPr>
          <w:rFonts w:ascii="Times New Roman;Times;serif" w:hAnsi="Times New Roman;Times;serif"/>
          <w:sz w:val="20"/>
        </w:rPr>
      </w:pPr>
      <w:r>
        <w:rPr>
          <w:rFonts w:ascii="Times New Roman;Times;serif" w:hAnsi="Times New Roman;Times;serif"/>
          <w:sz w:val="20"/>
        </w:rPr>
        <w:t>F - 36</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reconciliation of the Company’s theoretical income tax expense to actual income tax expense is as follows:</w:t>
      </w:r>
    </w:p>
    <w:p>
      <w:pPr>
        <w:pStyle w:val="TextBody"/>
        <w:bidi w:val="0"/>
        <w:spacing w:before="0" w:after="0"/>
        <w:ind w:left="720" w:right="0" w:hanging="0"/>
        <w:jc w:val="left"/>
        <w:rPr/>
      </w:pPr>
      <w:r>
        <w:rPr/>
        <w:t> </w:t>
      </w:r>
    </w:p>
    <w:tbl>
      <w:tblPr>
        <w:tblW w:w="7280" w:type="dxa"/>
        <w:jc w:val="left"/>
        <w:tblInd w:w="720" w:type="dxa"/>
        <w:tblLayout w:type="fixed"/>
        <w:tblCellMar>
          <w:top w:w="0" w:type="dxa"/>
          <w:left w:w="0" w:type="dxa"/>
          <w:bottom w:w="0" w:type="dxa"/>
          <w:right w:w="0" w:type="dxa"/>
        </w:tblCellMar>
      </w:tblPr>
      <w:tblGrid>
        <w:gridCol w:w="4220"/>
        <w:gridCol w:w="60"/>
        <w:gridCol w:w="125"/>
        <w:gridCol w:w="650"/>
        <w:gridCol w:w="185"/>
        <w:gridCol w:w="60"/>
        <w:gridCol w:w="125"/>
        <w:gridCol w:w="650"/>
        <w:gridCol w:w="185"/>
        <w:gridCol w:w="60"/>
        <w:gridCol w:w="125"/>
        <w:gridCol w:w="650"/>
        <w:gridCol w:w="185"/>
      </w:tblGrid>
      <w:tr>
        <w:trPr/>
        <w:tc>
          <w:tcPr>
            <w:tcW w:w="422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81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8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18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(loss) before income taxes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(70,910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(64,853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Statutory tax rate</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Theoretical tax benefit (expense)</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14,916</w:t>
            </w:r>
          </w:p>
        </w:tc>
        <w:tc>
          <w:tcPr>
            <w:tcW w:w="18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(decrease) in effective tax rate due to:</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28,376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(4,491</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(4,474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Impact of preferred enterprise on deferred taxes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(17,163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entities with different tax rates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Non-deductible expenses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(6,903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(12,433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(11,501</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Impact of different tax rate on temporary differences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Excess tax benefit on stock based compensation</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1,562</w:t>
            </w:r>
          </w:p>
        </w:tc>
        <w:tc>
          <w:tcPr>
            <w:tcW w:w="18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Prior years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Write-off of NOL due to limitation on utilization</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(8,305</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Uncertain tax provision</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(1,111</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w:t>
            </w:r>
          </w:p>
        </w:tc>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Effective income taxes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(577</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left"/>
        <w:rPr/>
      </w:pPr>
      <w:r>
        <w:rPr/>
        <w:t> </w:t>
      </w:r>
    </w:p>
    <w:tbl>
      <w:tblPr>
        <w:tblW w:w="2860" w:type="dxa"/>
        <w:jc w:val="left"/>
        <w:tblInd w:w="0" w:type="dxa"/>
        <w:tblLayout w:type="fixed"/>
        <w:tblCellMar>
          <w:top w:w="0" w:type="dxa"/>
          <w:left w:w="0" w:type="dxa"/>
          <w:bottom w:w="0" w:type="dxa"/>
          <w:right w:w="0" w:type="dxa"/>
        </w:tblCellMar>
      </w:tblPr>
      <w:tblGrid>
        <w:gridCol w:w="75"/>
        <w:gridCol w:w="155"/>
        <w:gridCol w:w="263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6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Net operating loss carryforward:</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2023, there are no remaining Net Operating Losses (“NOL”) for Israeli tax purposes. The Company also had a NOL carryforward for U.S. tax purposes of approximately $34,535 as of December 31, 2023. NOL’s for U.S. Federal income tax purposes (“Federal NOL’s”) generated in the years ended December 31, 2014 through 2017 will begin to expire in 2035 for federal income tax purposes. Federal NOL’s originating before January 1, 2018, are eligible to offset taxable income, if not otherwise limited under Internal Revenue Code (“IRC”) 382 limitations. Federal NOL’s generated after December 31, 2017, have an infinite carryforward period and are subject to 80% deduction limitation based upon pre-NOL deduction taxable income. All of the federal NOL’s of the Company are expected to be subject to certain limitations under 382 following that change in control that occurred upon acquisition of ClearVoice, Working Not Working, Inc. and CreativeLive.</w:t>
      </w:r>
    </w:p>
    <w:p>
      <w:pPr>
        <w:pStyle w:val="TextBody"/>
        <w:bidi w:val="0"/>
        <w:spacing w:lineRule="auto" w:line="300"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75"/>
        <w:gridCol w:w="125"/>
        <w:gridCol w:w="14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4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Basis of taxation:</w:t>
            </w:r>
          </w:p>
        </w:tc>
      </w:tr>
    </w:tbl>
    <w:p>
      <w:pPr>
        <w:pStyle w:val="TextBody"/>
        <w:bidi w:val="0"/>
        <w:spacing w:lineRule="auto" w:line="300" w:before="0" w:after="0"/>
        <w:ind w:left="0" w:right="0" w:firstLine="36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Israeli corporate tax rate was 23% for the years ended December 31, 2023, 2022 and 2021.</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has elected 2012 to be its election year to be eligible for “Beneficiary Enterprise” standing under amendment No. 60 to tax benefits section No. 51 to the Law for the Encouragement of Capital Investments, 1959 (the “Law”).</w:t>
      </w:r>
    </w:p>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Pursuant to the provisions of the Law, in the event that the Company is profitable for tax purposes, the Company’s undistributed income will be tax-exempt for a period of two years beginning from the year in which taxable income is first earned. In the remaining years of benefits (between three to eight years, depending on the level of non-Israeli investments), the Company will be liable to reduced corporate tax at the rate of 10% to 25%, based on the percentage of foreign ownership.</w:t>
      </w:r>
    </w:p>
    <w:p>
      <w:pPr>
        <w:pStyle w:val="TextBody"/>
        <w:bidi w:val="0"/>
        <w:spacing w:lineRule="auto" w:line="300" w:before="0" w:after="0"/>
        <w:ind w:left="360" w:right="0" w:hanging="0"/>
        <w:jc w:val="both"/>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- 37</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Any income derived from sources other than from the Beneficiary Enterprise would be subject to the statutory corporate tax rate.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period of tax benefits described above is subject to limits of 12 years from the year of election.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sz w:val="20"/>
        </w:rPr>
      </w:pPr>
      <w:r>
        <w:rPr>
          <w:rFonts w:ascii="Times New Roman;Times;serif" w:hAnsi="Times New Roman;Times;serif"/>
          <w:sz w:val="20"/>
        </w:rPr>
        <w:t>The entitlement to the above benefits is conditional upon the Company fulfilling the conditions stipulated by the Law, regulations published thereunder and the letters of approval for the specific investments in “Beneficiary Enterprise.” In the event of failure to comply with these conditions, the benefits may be canceled, and the Company may be required to refund the amount of the benefits, in whole or in part, including interest.</w:t>
      </w:r>
      <w:r>
        <w:rPr>
          <w:sz w:val="20"/>
        </w:rPr>
        <w:t xml:space="preserve"> </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sz w:val="20"/>
        </w:rPr>
      </w:pPr>
      <w:r>
        <w:rPr>
          <w:rFonts w:ascii="Times New Roman;Times;serif" w:hAnsi="Times New Roman;Times;serif"/>
          <w:sz w:val="20"/>
        </w:rPr>
        <w:t>The Company has not provided deferred tax liability on future distributions of tax-exempt earnings, as the Company intends to reinvest any income derived from its Beneficiary Enterprise program and not to distribute such income as a dividend. Accordingly, such earnings (amounting to $18,819 as of December 31, 2023) have been considered to be permanently reinvested. If these earnings will be distributed, they will be taxed at the applicable corporate tax rate of 23%.</w:t>
      </w:r>
      <w:r>
        <w:rPr>
          <w:sz w:val="20"/>
        </w:rPr>
        <w:t xml:space="preserve"> </w:t>
      </w:r>
    </w:p>
    <w:p>
      <w:pPr>
        <w:pStyle w:val="TextBody"/>
        <w:bidi w:val="0"/>
        <w:spacing w:lineRule="auto" w:line="300" w:before="0" w:after="0"/>
        <w:ind w:left="36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December 2016, the Economic Efficiency Law (Legislative Amendments for Applying the Economic Policy for the 2017 and 2018 Budget Years), published Amendment No. 73 to the Law for the Encouragement of Capital Investments (the “2017 Amendment”) which reduces the corporate income tax rate to 24% (instead of 25%) effective from January 1, 2017 and to 23% effective from January 1, 2018. In addition, according to the 2017 Amendment, a preferred enterprise located in development area A will be subject to a tax rate of 7.5% instead of 9% effective from January 1, 2017 and thereafter (the tax rate applicable to preferred enterprises located in other areas remains at 16%).</w:t>
      </w:r>
    </w:p>
    <w:p>
      <w:pPr>
        <w:pStyle w:val="TextBody"/>
        <w:bidi w:val="0"/>
        <w:spacing w:lineRule="auto" w:line="300" w:before="0" w:after="0"/>
        <w:ind w:left="36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December 2016, pursuant to amendment No. 73 to the law, the tax rate on preferred Technological Enterprise income was reduced to 12%. The Company evaluated the scope of the amendment, and expects to utilize it starting from 2024.</w:t>
      </w:r>
    </w:p>
    <w:p>
      <w:pPr>
        <w:pStyle w:val="TextBody"/>
        <w:bidi w:val="0"/>
        <w:spacing w:lineRule="auto" w:line="300" w:before="0" w:after="0"/>
        <w:ind w:left="36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December 22, 2017, the Tax Cuts and Jobs Act (the “Act”) was enacted into law. The legislation represents fundamental and dramatic modifications to the U.S. tax system. The Act contains several key tax provisions that will impact the Company’s U.S. subsidiaries, including the reduction of the maximum U.S. federal corporate income tax rate from 35% to 21%, effective January 1, 2018. Other significant changes under the Act include, among others, a one-time repatriation tax on accumulated foreign earnings, a limitation of net operating loss deduction to 80% of taxable income, and indefinite carryover of post-2017 net operating losses. The Act also repeals the corporate alternative minimum tax for tax years beginning after December 31, 2017. Losses generated prior to January 1, 2018 will still be subject to the 20-year carryforward limitation and the alternative minimum tax. Other potential impacts due to the Act include the repeal of the domestic manufacturing deduction, modification of taxation of controlled foreign corporations, a base erosion anti-abuse tax, modification of interest expense limitation rules, modification of limitation on deductibility of excessive executive compensation, and taxation of global intangible low-taxed income.</w:t>
      </w:r>
    </w:p>
    <w:p>
      <w:pPr>
        <w:pStyle w:val="TextBody"/>
        <w:bidi w:val="0"/>
        <w:spacing w:lineRule="auto" w:line="300" w:before="0" w:after="0"/>
        <w:ind w:left="1080" w:right="0" w:hanging="0"/>
        <w:jc w:val="both"/>
        <w:rPr/>
      </w:pPr>
      <w:r>
        <w:rPr/>
        <w:t> </w:t>
      </w:r>
    </w:p>
    <w:tbl>
      <w:tblPr>
        <w:tblW w:w="1630" w:type="dxa"/>
        <w:jc w:val="left"/>
        <w:tblInd w:w="0" w:type="dxa"/>
        <w:tblLayout w:type="fixed"/>
        <w:tblCellMar>
          <w:top w:w="0" w:type="dxa"/>
          <w:left w:w="0" w:type="dxa"/>
          <w:bottom w:w="0" w:type="dxa"/>
          <w:right w:w="0" w:type="dxa"/>
        </w:tblCellMar>
      </w:tblPr>
      <w:tblGrid>
        <w:gridCol w:w="60"/>
        <w:gridCol w:w="170"/>
        <w:gridCol w:w="1400"/>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assessments:</w:t>
            </w:r>
          </w:p>
        </w:tc>
      </w:tr>
    </w:tbl>
    <w:p>
      <w:pPr>
        <w:pStyle w:val="TextBody"/>
        <w:bidi w:val="0"/>
        <w:spacing w:lineRule="auto" w:line="300" w:before="0" w:after="0"/>
        <w:ind w:left="720" w:right="0" w:hanging="36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2023, the Company had open tax years for the periods between 2018 and 2023 in Israel and for the periods between 2020 and 2023 for the U.S. subsidiaries. The Company has NOL in the U.S. from prior tax periods which may be subject to examination in future periods.</w:t>
      </w:r>
    </w:p>
    <w:p>
      <w:pPr>
        <w:pStyle w:val="TextBody"/>
        <w:bidi w:val="0"/>
        <w:spacing w:lineRule="auto" w:line="300" w:before="0" w:after="0"/>
        <w:jc w:val="both"/>
        <w:rPr/>
      </w:pPr>
      <w:r>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Uncertain tax positions:</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A reconciliation of the opening and closing amounts of total unrecognized tax positions is as follows:</w:t>
      </w:r>
    </w:p>
    <w:p>
      <w:pPr>
        <w:pStyle w:val="TextBody"/>
        <w:bidi w:val="0"/>
        <w:spacing w:lineRule="auto" w:line="300" w:before="0" w:after="0"/>
        <w:ind w:left="720" w:right="0" w:firstLine="414"/>
        <w:jc w:val="left"/>
        <w:rPr/>
      </w:pPr>
      <w:r>
        <w:rPr/>
        <w:t> </w:t>
      </w:r>
    </w:p>
    <w:tbl>
      <w:tblPr>
        <w:tblW w:w="5340" w:type="dxa"/>
        <w:jc w:val="left"/>
        <w:tblInd w:w="720" w:type="dxa"/>
        <w:tblLayout w:type="fixed"/>
        <w:tblCellMar>
          <w:top w:w="0" w:type="dxa"/>
          <w:left w:w="0" w:type="dxa"/>
          <w:bottom w:w="0" w:type="dxa"/>
          <w:right w:w="0" w:type="dxa"/>
        </w:tblCellMar>
      </w:tblPr>
      <w:tblGrid>
        <w:gridCol w:w="3860"/>
        <w:gridCol w:w="60"/>
        <w:gridCol w:w="125"/>
        <w:gridCol w:w="485"/>
        <w:gridCol w:w="60"/>
        <w:gridCol w:w="60"/>
        <w:gridCol w:w="125"/>
        <w:gridCol w:w="485"/>
        <w:gridCol w:w="80"/>
      </w:tblGrid>
      <w:tr>
        <w:trPr/>
        <w:tc>
          <w:tcPr>
            <w:tcW w:w="38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Opening balance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Decrease related to previous years tax positions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related to previous years tax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590</w:t>
            </w:r>
          </w:p>
        </w:tc>
        <w:tc>
          <w:tcPr>
            <w:tcW w:w="8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related to current year tax positions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843</w:t>
            </w:r>
          </w:p>
        </w:tc>
        <w:tc>
          <w:tcPr>
            <w:tcW w:w="8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Closing balance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ind w:left="720" w:right="0" w:hanging="0"/>
        <w:jc w:val="left"/>
        <w:rPr>
          <w:rFonts w:ascii="Times New Roman;Times;serif" w:hAnsi="Times New Roman;Times;serif"/>
          <w:sz w:val="20"/>
        </w:rPr>
      </w:pPr>
      <w:r>
        <w:rPr>
          <w:rFonts w:ascii="Times New Roman;Times;serif" w:hAnsi="Times New Roman;Times;serif"/>
          <w:sz w:val="20"/>
        </w:rPr>
        <w:t>The amount for the year ended December 31, 2023 and 2022 includes $1,148 and $910, respectively, unrecognized tax benefits. The Company accrues interest and penalties related to unrecognized tax benefits in its provision for income taxes.</w:t>
      </w:r>
    </w:p>
    <w:p>
      <w:pPr>
        <w:pStyle w:val="TextBody"/>
        <w:bidi w:val="0"/>
        <w:spacing w:before="0" w:after="0"/>
        <w:jc w:val="left"/>
        <w:rPr/>
      </w:pPr>
      <w:r>
        <w:rPr/>
        <w:t> </w:t>
      </w:r>
    </w:p>
    <w:p>
      <w:pPr>
        <w:pStyle w:val="TextBody"/>
        <w:bidi w:val="0"/>
        <w:spacing w:before="200" w:after="283"/>
        <w:jc w:val="center"/>
        <w:rPr>
          <w:rFonts w:ascii="Times New Roman;Times;serif" w:hAnsi="Times New Roman;Times;serif"/>
          <w:sz w:val="20"/>
        </w:rPr>
      </w:pPr>
      <w:r>
        <w:rPr>
          <w:rFonts w:ascii="Times New Roman;Times;serif" w:hAnsi="Times New Roman;Times;serif"/>
          <w:sz w:val="20"/>
        </w:rPr>
        <w:t>F - 38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Fiverr International Ltd. and subsidiaries</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left"/>
        <w:rPr/>
      </w:pPr>
      <w:r>
        <w:rPr>
          <w:rStyle w:val="StrongEmphasis"/>
          <w:rFonts w:ascii="Times New Roman;Times;serif" w:hAnsi="Times New Roman;Times;serif"/>
          <w:sz w:val="20"/>
        </w:rPr>
        <w:t>U.S. dollars (in thousands, except share and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17: - Segment and geographic information</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Revenue attributable to the Company’s domicile and other geographic areas based on the location of the buyers was as follows for the years ended:</w:t>
      </w:r>
    </w:p>
    <w:p>
      <w:pPr>
        <w:pStyle w:val="TextBody"/>
        <w:bidi w:val="0"/>
        <w:spacing w:lineRule="auto" w:line="300" w:before="0" w:after="0"/>
        <w:jc w:val="left"/>
        <w:rPr/>
      </w:pPr>
      <w:r>
        <w:rPr/>
        <w:t> </w:t>
      </w:r>
    </w:p>
    <w:tbl>
      <w:tblPr>
        <w:tblW w:w="4835" w:type="dxa"/>
        <w:jc w:val="left"/>
        <w:tblInd w:w="720" w:type="dxa"/>
        <w:tblLayout w:type="fixed"/>
        <w:tblCellMar>
          <w:top w:w="0" w:type="dxa"/>
          <w:left w:w="0" w:type="dxa"/>
          <w:bottom w:w="0" w:type="dxa"/>
          <w:right w:w="0" w:type="dxa"/>
        </w:tblCellMar>
      </w:tblPr>
      <w:tblGrid>
        <w:gridCol w:w="1655"/>
        <w:gridCol w:w="60"/>
        <w:gridCol w:w="140"/>
        <w:gridCol w:w="800"/>
        <w:gridCol w:w="60"/>
        <w:gridCol w:w="60"/>
        <w:gridCol w:w="140"/>
        <w:gridCol w:w="800"/>
        <w:gridCol w:w="60"/>
        <w:gridCol w:w="60"/>
        <w:gridCol w:w="140"/>
        <w:gridCol w:w="800"/>
        <w:gridCol w:w="60"/>
      </w:tblGrid>
      <w:tr>
        <w:trPr/>
        <w:tc>
          <w:tcPr>
            <w:tcW w:w="16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December 31,</w:t>
            </w:r>
          </w:p>
        </w:tc>
        <w:tc>
          <w:tcPr>
            <w:tcW w:w="6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2021</w:t>
            </w:r>
          </w:p>
        </w:tc>
        <w:tc>
          <w:tcPr>
            <w:tcW w:w="6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172,704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154,360</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Europe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95,593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84,484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77,019</w:t>
            </w:r>
          </w:p>
        </w:tc>
        <w:tc>
          <w:tcPr>
            <w:tcW w:w="6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48,585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38,437</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Rest of the world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29,664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28,153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24,991</w:t>
            </w:r>
          </w:p>
        </w:tc>
        <w:tc>
          <w:tcPr>
            <w:tcW w:w="6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Israel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2,855</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361,375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337,366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297,662</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Property and equipment, net and ROU assets by geographical areas was as follows:</w:t>
      </w:r>
    </w:p>
    <w:p>
      <w:pPr>
        <w:pStyle w:val="TextBody"/>
        <w:bidi w:val="0"/>
        <w:spacing w:lineRule="auto" w:line="300" w:before="0" w:after="0"/>
        <w:jc w:val="left"/>
        <w:rPr/>
      </w:pPr>
      <w:r>
        <w:rPr/>
        <w:t> </w:t>
      </w:r>
    </w:p>
    <w:tbl>
      <w:tblPr>
        <w:tblW w:w="3280" w:type="dxa"/>
        <w:jc w:val="left"/>
        <w:tblInd w:w="720" w:type="dxa"/>
        <w:tblLayout w:type="fixed"/>
        <w:tblCellMar>
          <w:top w:w="0" w:type="dxa"/>
          <w:left w:w="0" w:type="dxa"/>
          <w:bottom w:w="0" w:type="dxa"/>
          <w:right w:w="0" w:type="dxa"/>
        </w:tblCellMar>
      </w:tblPr>
      <w:tblGrid>
        <w:gridCol w:w="1400"/>
        <w:gridCol w:w="60"/>
        <w:gridCol w:w="140"/>
        <w:gridCol w:w="680"/>
        <w:gridCol w:w="60"/>
        <w:gridCol w:w="60"/>
        <w:gridCol w:w="140"/>
        <w:gridCol w:w="680"/>
        <w:gridCol w:w="60"/>
      </w:tblGrid>
      <w:tr>
        <w:trPr/>
        <w:tc>
          <w:tcPr>
            <w:tcW w:w="14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December 31,</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Israel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13,714</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U.S. and other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1,023</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14,737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20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- 39</w:t>
      </w:r>
    </w:p>
    <w:p>
      <w:pPr>
        <w:pStyle w:val="HorizontalLine"/>
        <w:bidi w:val="0"/>
        <w:spacing w:lineRule="auto" w:line="300"/>
        <w:jc w:val="left"/>
        <w:rPr/>
      </w:pPr>
      <w:r>
        <w:rPr/>
      </w:r>
    </w:p>
    <w:p>
      <w:pPr>
        <w:pStyle w:val="TextBody"/>
        <w:bidi w:val="0"/>
        <w:spacing w:lineRule="auto" w:line="300"/>
        <w:jc w:val="left"/>
        <w:rPr/>
      </w:pPr>
      <w:r>
        <w:rPr/>
        <w:t> </w:t>
      </w:r>
    </w:p>
    <w:p>
      <w:pPr>
        <w:pStyle w:val="HorizontalLine"/>
        <w:bidi w:val="0"/>
        <w:jc w:val="left"/>
        <w:rPr/>
      </w:pPr>
      <w:r>
        <w:rPr/>
      </w:r>
      <w:bookmarkStart w:id="642" w:name="exhibit_2-1.htm"/>
      <w:bookmarkStart w:id="643" w:name="ksexhibit_21"/>
      <w:bookmarkStart w:id="644" w:name="exhibit_2-1.htm"/>
      <w:bookmarkStart w:id="645" w:name="ksexhibit_21"/>
      <w:bookmarkEnd w:id="644"/>
      <w:bookmarkEnd w:id="645"/>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2.1</w:t>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DESCRIPTION OF THE REGISTRANT’S SECURITIES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REGISTERED PURSUANT TO SECTION 12 OF THE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 AS AMENDED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Fiverr International Ltd. had one class of securities registered under Section 12 of the Securities Exchange Act of 1934, as amended: our ordinary shares. References herein to “we,” “us,” “our” and the “Company” refer to Fiverr International Ltd. and not to any of its subsidiaries. The following description may not contain all of the information that is important to you, and we therefore refer you to our amended and restated articles of association, a copy of which was filed on October 27, 2023, with the Securities and Exchange Commission (“SEC”) as an exhibit 99.1 to Form 6-K (file no. 001-38929).</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Share capital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authorized share capital consists of 127,400,000 ordinary shares, no par value.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of our outstanding ordinary shares are validly issued, fully paid and non-assessable. Our ordinary shares are not redeemable and do not have any preemptive rights.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Transfer of shares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ordinary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Election of directors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our amended and restated articles of association, our board of directors must consist of not less than three but no more than ten directors. Pursuant to our amended and restated articles of association, each of our directors shall be appointed by a simple majority vote of holders of our ordinary shares, participating and voting at an annual general meeting of our shareholders, provided that in the event of a contested election directors shall be elected by a plurality of the votes cast.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or upon the occurrence of certain events, in accordance with the Companies Law and our amended and restated articles of association. In addition, our amended and restated articles of association allow our board of directors to fill vacancies on the board of directors or to appoint new directors up to the maximum number of directors permitted under our amended and restated articles of association. Any director so appointed serves for a term of office equal to the remaining period of the term of office of the director whose office has been vacated (or in the case of any new director, for a term of office according to the class to which such director was assigned upon appointment).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Dividend and liquidation rights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Voting rights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ordinary shares have identical voting and other rights in all respects.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Quorum</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our amended and restated articles of association, holders of our ordinary shares have one vote for each ordinary share held on all matters submitted to a vote before the shareholders at a general meeting. The quorum required for our general meetings of shareholders consists of at least two shareholders present in person, by proxy or written ballot who hold or represent between them at least 25% of the total outstanding voting rights, within half an hour of the time fixed for the commencement of the meeting. A meeting adjourned for lack of a quorum shall be adjourned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Vote requirements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a special majority, including: (i) the approval of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approval of certain compensation-related matters require specific approval. Under our amended and restated articles of association, the alteration of the rights, privileges, preferences or obligations of any class of our shares (to the extent there are classes other than ordinary shares) may require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amended and restated articles of association also provide that the removal of any director from office or the amendment of such provision, or certain other provisions regarding our staggered board, shareholder proposals, the size of our board and plurality voting in contested elections require the vote of at least 65% of the total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Access to corporate records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Companies Registrar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commercial secret or a patent or that the document’s disclosure may otherwise impair our interests.</w:t>
      </w:r>
    </w:p>
    <w:p>
      <w:pPr>
        <w:pStyle w:val="TextBody"/>
        <w:bidi w:val="0"/>
        <w:spacing w:lineRule="auto" w:line="300" w:before="0" w:after="0"/>
        <w:jc w:val="left"/>
        <w:rPr/>
      </w:pPr>
      <w:r>
        <w:rPr/>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Acquisitions under Israeli law</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Full tender offer.</w:t>
      </w:r>
      <w:r>
        <w:rPr>
          <w:rFonts w:ascii="Times New Roman;Times;serif" w:hAnsi="Times New Roman;Times;serif"/>
          <w:color w:val="000000"/>
          <w:sz w:val="20"/>
        </w:rPr>
        <w:t xml:space="preserve"> A person wishing to acquire shares of a public Israeli company and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two percent (2%) of the issued and outstanding share capital of the company (or of the applicable class), all of the shares that the acquirer offered to purchase will be transferred to the acquirer by operation of law. A shareholder who had its shares so transferred may petition the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voting rights or the issued and outstanding share capital of the company (or the applicable class) from shareholders who accepted the tender offer.</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Special tender offer.</w:t>
      </w:r>
      <w:r>
        <w:rPr>
          <w:rFonts w:ascii="Times New Roman;Times;serif" w:hAnsi="Times New Roman;Times;serif"/>
          <w:color w:val="000000"/>
          <w:sz w:val="20"/>
        </w:rPr>
        <w:t xml:space="preserve"> The Companies Law provides that an acquisition of shares of an Israeli public company must be made by means of a special tender offer if as a result of the acquisition the purchaser would become a holder of 25% or more of the voting rights in the company. This rule does not apply if there is already another holder of 25% or more of the voting rights in the company. Similarly, the Companies Law provides that an acquisition of shares in a public company must be made by means of a tender offer if as a result of the acquisition the purchaser would become a holder of more than 45% of the voting rights in the company, if there is no other shareholder of the company who holds more than 45% of the voting rights in the company. These requirements do not apply if the acquisition (i) occurs in the context of a private placement by the company that received shareholder approval as a private placement whose purpose is to give the acquirer at least 25% of the voting rights in the company if there is no person who holds 25% or more of the voting rights in the company, or as a private placement whose purpose is to give the acquirer 45% of the voting rights in the company, if there is no person who holds 45% of the voting rights in the company, (ii) was from a shareholder holding 25% or more of the voting rights in the company and resulted in the acquirer becoming a holder of 25% or more of the voting rights in the company, or (iii) was from a holder of more than 45% of the voting rights in the company and resulted in the acquirer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where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lineRule="auto" w:line="300" w:before="0" w:after="0"/>
        <w:jc w:val="left"/>
        <w:rPr/>
      </w:pPr>
      <w:r>
        <w:rPr/>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 special tender offer is accepted, then shareholders who did not respond to or that had objected to the offer, may accept the offer within four days of the last day set for the acceptance of the offer and they will be considered to have accepted the offer from the first day it was made.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that a special tender offer is accepted, then the purchaser or any person or entity controlling it, at the time of the offer,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Merger.</w:t>
      </w:r>
      <w:r>
        <w:rPr>
          <w:rFonts w:ascii="Times New Roman;Times;serif" w:hAnsi="Times New Roman;Times;serif"/>
          <w:color w:val="000000"/>
          <w:sz w:val="20"/>
        </w:rPr>
        <w:t xml:space="preserve"> The Companies Law permits merger transactions if approved by each party’s board of directors and, unless certain conditions described under the Companies Law are met, by a majority of each party’s shareholders.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purposes of the shareholder vote of a merging company whose shares are held by the other merging company or a person or entity holding 25% or more of the voting rights at the general meeting or the right to appoint 25% or more of the directors of the other merging company, unless a court rules otherwise, the merger will not be deemed approved if a majority of the shares voted on the matter at the shareholders meeting (excluding abstentions) that are held by shareholders other than the other party to the merger, or by any person or entity who holds 25% or more of the voting rights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Anti-takeover measures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As of December 31, 2023,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and our amended articles of association as described above in “—Voting Rights.” In addition, as disclosed under “—Election of Directors” we have a classified board structure, which will effectively limit the ability of any investor or potential investor or group of investors or potential investors to gain control of our board of directors.</w:t>
      </w:r>
    </w:p>
    <w:p>
      <w:pPr>
        <w:pStyle w:val="TextBody"/>
        <w:bidi w:val="0"/>
        <w:spacing w:lineRule="auto" w:line="300" w:before="0" w:after="0"/>
        <w:jc w:val="left"/>
        <w:rPr/>
      </w:pPr>
      <w:r>
        <w:rPr/>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Changes in capital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Exclusive forum</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such Securities Act actions. Accordingly, both U.S.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amended and restated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This provision would not apply to causes of action arising under the Exchange Act.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also provide that unless we consent in writing to the selection of an alternative forum, the competent courts in Tel Aviv, Israel shall be the exclusive forum for (i) any derivative action or proceeding brought on behalf of the Company, (ii) any action asserting a breach of a fiduciary duty owed by any of our directors, officers or other employees of the Company, to the Company or the Company’s shareholders, or (iii) any action asserting a claim arising pursuant to any provision of the Companies Law or the Israeli Securities Law.</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person or entity purchasing or otherwise acquiring any interest in our share capital shall be deemed to have notice of and to have consented to the choice of forum provisions of our amended and restated articles of association described above.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Transfer agent and registrar</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transfer agent and registrar for our ordinary shares is Computershare Trust Company, N.A, at its principal office in Canton, Massachusetts.</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 </w:t>
      </w:r>
      <w:r>
        <w:rPr>
          <w:rFonts w:ascii="Times New Roman;Times;serif" w:hAnsi="Times New Roman;Times;serif"/>
          <w:b/>
          <w:color w:val="000000"/>
          <w:sz w:val="20"/>
        </w:rPr>
        <w:t>Listing</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ordinary shares are listed on the New York Stock Exchange under the symbol “FVRR.”</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lineRule="auto" w:line="300"/>
        <w:jc w:val="center"/>
        <w:rPr/>
      </w:pPr>
      <w:r>
        <w:rPr/>
      </w:r>
    </w:p>
    <w:p>
      <w:pPr>
        <w:pStyle w:val="TextBody"/>
        <w:bidi w:val="0"/>
        <w:jc w:val="left"/>
        <w:rPr/>
      </w:pPr>
      <w:r>
        <w:rPr/>
      </w:r>
    </w:p>
    <w:p>
      <w:pPr>
        <w:pStyle w:val="HorizontalLine"/>
        <w:bidi w:val="0"/>
        <w:jc w:val="left"/>
        <w:rPr/>
      </w:pPr>
      <w:r>
        <w:rPr/>
      </w:r>
      <w:bookmarkStart w:id="646" w:name="exhibit_8-1.htm"/>
      <w:bookmarkStart w:id="647" w:name="ksexhibit_81"/>
      <w:bookmarkStart w:id="648" w:name="exhibit_8-1.htm"/>
      <w:bookmarkStart w:id="649" w:name="ksexhibit_81"/>
      <w:bookmarkEnd w:id="648"/>
      <w:bookmarkEnd w:id="64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8.1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Subsidiaries of the Registrant</w:t>
      </w:r>
    </w:p>
    <w:p>
      <w:pPr>
        <w:pStyle w:val="TextBody"/>
        <w:bidi w:val="0"/>
        <w:spacing w:lineRule="auto" w:line="300" w:before="0" w:after="0"/>
        <w:jc w:val="left"/>
        <w:rPr>
          <w:color w:val="000000"/>
        </w:rPr>
      </w:pPr>
      <w:r>
        <w:rPr>
          <w:color w:val="000000"/>
        </w:rPr>
        <w:t> </w:t>
      </w:r>
    </w:p>
    <w:tbl>
      <w:tblPr>
        <w:tblW w:w="6445" w:type="dxa"/>
        <w:jc w:val="left"/>
        <w:tblInd w:w="0" w:type="dxa"/>
        <w:tblLayout w:type="fixed"/>
        <w:tblCellMar>
          <w:top w:w="0" w:type="dxa"/>
          <w:left w:w="0" w:type="dxa"/>
          <w:bottom w:w="28" w:type="dxa"/>
          <w:right w:w="0" w:type="dxa"/>
        </w:tblCellMar>
      </w:tblPr>
      <w:tblGrid>
        <w:gridCol w:w="3500"/>
        <w:gridCol w:w="60"/>
        <w:gridCol w:w="2885"/>
      </w:tblGrid>
      <w:tr>
        <w:trPr/>
        <w:tc>
          <w:tcPr>
            <w:tcW w:w="3500" w:type="dxa"/>
            <w:tcBorders>
              <w:bottom w:val="single" w:sz="12" w:space="0" w:color="000000"/>
            </w:tcBorders>
            <w:vAlign w:val="center"/>
          </w:tcPr>
          <w:p>
            <w:pPr>
              <w:pStyle w:val="TableContents"/>
              <w:bidi w:val="0"/>
              <w:spacing w:lineRule="auto" w:line="300" w:before="0" w:after="0"/>
              <w:jc w:val="left"/>
              <w:rPr>
                <w:b/>
              </w:rPr>
            </w:pPr>
            <w:r>
              <w:rPr>
                <w:b/>
              </w:rPr>
              <w:t>Legal Name of Subsidiary</w:t>
            </w:r>
          </w:p>
        </w:tc>
        <w:tc>
          <w:tcPr>
            <w:tcW w:w="60" w:type="dxa"/>
            <w:tcBorders/>
            <w:tcMar>
              <w:bottom w:w="0" w:type="dxa"/>
            </w:tcMar>
            <w:vAlign w:val="center"/>
          </w:tcPr>
          <w:p>
            <w:pPr>
              <w:pStyle w:val="TableContents"/>
              <w:bidi w:val="0"/>
              <w:spacing w:before="0" w:after="283"/>
              <w:jc w:val="left"/>
              <w:rPr/>
            </w:pPr>
            <w:r>
              <w:rPr/>
              <w:t> </w:t>
            </w:r>
          </w:p>
        </w:tc>
        <w:tc>
          <w:tcPr>
            <w:tcW w:w="2885" w:type="dxa"/>
            <w:tcBorders>
              <w:bottom w:val="single" w:sz="12" w:space="0" w:color="000000"/>
            </w:tcBorders>
            <w:vAlign w:val="center"/>
          </w:tcPr>
          <w:p>
            <w:pPr>
              <w:pStyle w:val="TableContents"/>
              <w:bidi w:val="0"/>
              <w:spacing w:lineRule="auto" w:line="300" w:before="0" w:after="0"/>
              <w:jc w:val="left"/>
              <w:rPr>
                <w:b/>
              </w:rPr>
            </w:pPr>
            <w:r>
              <w:rPr>
                <w:b/>
              </w:rPr>
              <w:t>Jurisdiction of Organization</w:t>
            </w:r>
          </w:p>
        </w:tc>
      </w:tr>
      <w:tr>
        <w:trPr/>
        <w:tc>
          <w:tcPr>
            <w:tcW w:w="3500" w:type="dxa"/>
            <w:tcBorders/>
            <w:shd w:fill="CCEEFF" w:val="clear"/>
            <w:tcMar>
              <w:bottom w:w="0" w:type="dxa"/>
            </w:tcMar>
            <w:vAlign w:val="center"/>
          </w:tcPr>
          <w:p>
            <w:pPr>
              <w:pStyle w:val="TableContents"/>
              <w:bidi w:val="0"/>
              <w:spacing w:lineRule="auto" w:line="300" w:before="0" w:after="0"/>
              <w:jc w:val="left"/>
              <w:rPr/>
            </w:pPr>
            <w:r>
              <w:rPr/>
              <w:t>ClearVoice,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lineRule="auto" w:line="300" w:before="0" w:after="0"/>
              <w:jc w:val="left"/>
              <w:rPr/>
            </w:pPr>
            <w:r>
              <w:rPr/>
              <w:t>United States</w:t>
            </w:r>
          </w:p>
        </w:tc>
      </w:tr>
      <w:tr>
        <w:trPr/>
        <w:tc>
          <w:tcPr>
            <w:tcW w:w="3500" w:type="dxa"/>
            <w:tcBorders/>
            <w:tcMar>
              <w:bottom w:w="0" w:type="dxa"/>
            </w:tcMar>
            <w:vAlign w:val="center"/>
          </w:tcPr>
          <w:p>
            <w:pPr>
              <w:pStyle w:val="TableContents"/>
              <w:bidi w:val="0"/>
              <w:spacing w:lineRule="auto" w:line="300" w:before="0" w:after="0"/>
              <w:jc w:val="left"/>
              <w:rPr/>
            </w:pPr>
            <w:r>
              <w:rPr/>
              <w:t>CreativeLive, Inc.</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lineRule="auto" w:line="300" w:before="0" w:after="0"/>
              <w:jc w:val="left"/>
              <w:rPr/>
            </w:pPr>
            <w:r>
              <w:rPr/>
              <w:t>United States</w:t>
            </w:r>
          </w:p>
        </w:tc>
      </w:tr>
      <w:tr>
        <w:trPr/>
        <w:tc>
          <w:tcPr>
            <w:tcW w:w="3500" w:type="dxa"/>
            <w:tcBorders/>
            <w:shd w:fill="CCEEFF" w:val="clear"/>
            <w:tcMar>
              <w:bottom w:w="0" w:type="dxa"/>
            </w:tcMar>
            <w:vAlign w:val="center"/>
          </w:tcPr>
          <w:p>
            <w:pPr>
              <w:pStyle w:val="TableContents"/>
              <w:bidi w:val="0"/>
              <w:spacing w:lineRule="auto" w:line="300" w:before="0" w:after="0"/>
              <w:jc w:val="left"/>
              <w:rPr/>
            </w:pPr>
            <w:r>
              <w:rPr/>
              <w:t>Fiverr,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lineRule="auto" w:line="300" w:before="0" w:after="0"/>
              <w:jc w:val="left"/>
              <w:rPr/>
            </w:pPr>
            <w:r>
              <w:rPr/>
              <w:t>United States</w:t>
            </w:r>
          </w:p>
        </w:tc>
      </w:tr>
      <w:tr>
        <w:trPr/>
        <w:tc>
          <w:tcPr>
            <w:tcW w:w="3500" w:type="dxa"/>
            <w:tcBorders/>
            <w:tcMar>
              <w:bottom w:w="0" w:type="dxa"/>
            </w:tcMar>
            <w:vAlign w:val="center"/>
          </w:tcPr>
          <w:p>
            <w:pPr>
              <w:pStyle w:val="TableContents"/>
              <w:bidi w:val="0"/>
              <w:spacing w:lineRule="auto" w:line="300" w:before="0" w:after="0"/>
              <w:jc w:val="left"/>
              <w:rPr/>
            </w:pPr>
            <w:r>
              <w:rPr/>
              <w:t>Fiverr Germany GmbH</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lineRule="auto" w:line="300" w:before="0" w:after="0"/>
              <w:jc w:val="left"/>
              <w:rPr/>
            </w:pPr>
            <w:r>
              <w:rPr/>
              <w:t>Germany</w:t>
            </w:r>
          </w:p>
        </w:tc>
      </w:tr>
      <w:tr>
        <w:trPr/>
        <w:tc>
          <w:tcPr>
            <w:tcW w:w="3500" w:type="dxa"/>
            <w:tcBorders/>
            <w:shd w:fill="CCEEFF" w:val="clear"/>
            <w:tcMar>
              <w:bottom w:w="0" w:type="dxa"/>
            </w:tcMar>
            <w:vAlign w:val="center"/>
          </w:tcPr>
          <w:p>
            <w:pPr>
              <w:pStyle w:val="TableContents"/>
              <w:bidi w:val="0"/>
              <w:spacing w:lineRule="auto" w:line="300" w:before="0" w:after="0"/>
              <w:jc w:val="left"/>
              <w:rPr/>
            </w:pPr>
            <w:r>
              <w:rPr/>
              <w:t>Fiverr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lineRule="auto" w:line="300" w:before="0" w:after="0"/>
              <w:jc w:val="left"/>
              <w:rPr/>
            </w:pPr>
            <w:r>
              <w:rPr/>
              <w:t>Cyprus</w:t>
            </w:r>
          </w:p>
        </w:tc>
      </w:tr>
      <w:tr>
        <w:trPr/>
        <w:tc>
          <w:tcPr>
            <w:tcW w:w="3500" w:type="dxa"/>
            <w:tcBorders/>
            <w:tcMar>
              <w:bottom w:w="0" w:type="dxa"/>
            </w:tcMar>
            <w:vAlign w:val="center"/>
          </w:tcPr>
          <w:p>
            <w:pPr>
              <w:pStyle w:val="TableContents"/>
              <w:bidi w:val="0"/>
              <w:spacing w:lineRule="auto" w:line="300" w:before="0" w:after="0"/>
              <w:jc w:val="left"/>
              <w:rPr/>
            </w:pPr>
            <w:r>
              <w:rPr/>
              <w:t>Sharon Lee Thony Consulting, LLC</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lineRule="auto" w:line="300" w:before="0" w:after="0"/>
              <w:jc w:val="left"/>
              <w:rPr/>
            </w:pPr>
            <w:r>
              <w:rPr/>
              <w:t>United States</w:t>
            </w:r>
          </w:p>
        </w:tc>
      </w:tr>
      <w:tr>
        <w:trPr/>
        <w:tc>
          <w:tcPr>
            <w:tcW w:w="3500" w:type="dxa"/>
            <w:tcBorders/>
            <w:shd w:fill="CCEEFF" w:val="clear"/>
            <w:tcMar>
              <w:bottom w:w="0" w:type="dxa"/>
            </w:tcMar>
            <w:vAlign w:val="center"/>
          </w:tcPr>
          <w:p>
            <w:pPr>
              <w:pStyle w:val="TableContents"/>
              <w:bidi w:val="0"/>
              <w:spacing w:lineRule="auto" w:line="300" w:before="0" w:after="0"/>
              <w:jc w:val="left"/>
              <w:rPr/>
            </w:pPr>
            <w:r>
              <w:rPr/>
              <w:t>Working Not Working,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lineRule="auto" w:line="300" w:before="0" w:after="0"/>
              <w:jc w:val="left"/>
              <w:rPr/>
            </w:pPr>
            <w:r>
              <w:rPr/>
              <w:t>United States</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jc w:val="left"/>
        <w:rPr/>
      </w:pPr>
      <w:r>
        <w:rPr/>
      </w:r>
    </w:p>
    <w:p>
      <w:pPr>
        <w:pStyle w:val="HorizontalLine"/>
        <w:bidi w:val="0"/>
        <w:jc w:val="left"/>
        <w:rPr/>
      </w:pPr>
      <w:r>
        <w:rPr/>
      </w:r>
      <w:bookmarkStart w:id="650" w:name="exhibit_12-1.htm"/>
      <w:bookmarkStart w:id="651" w:name="ksexhibit_121"/>
      <w:bookmarkStart w:id="652" w:name="exhibit_12-1.htm"/>
      <w:bookmarkStart w:id="653" w:name="ksexhibit_121"/>
      <w:bookmarkEnd w:id="652"/>
      <w:bookmarkEnd w:id="653"/>
      <w:r>
        <w:br w:type="page"/>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b/>
          <w:color w:val="000000"/>
          <w:sz w:val="20"/>
        </w:rPr>
        <w:t>Exhibit 12.1</w:t>
      </w:r>
      <w:r>
        <w:rPr>
          <w:rFonts w:ascii="Times New Roman;Times;serif" w:hAnsi="Times New Roman;Times;serif"/>
          <w:color w:val="000000"/>
          <w:sz w:val="20"/>
        </w:rPr>
        <w:t xml:space="preserv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 Micha Kaufman, Chief Executive Officer, certify that:</w:t>
      </w:r>
    </w:p>
    <w:p>
      <w:pPr>
        <w:pStyle w:val="TextBody"/>
        <w:bidi w:val="0"/>
        <w:spacing w:lineRule="auto" w:line="300" w:before="0" w:after="0"/>
        <w:jc w:val="left"/>
        <w:rPr>
          <w:color w:val="000000"/>
        </w:rPr>
      </w:pPr>
      <w:r>
        <w:rPr>
          <w:color w:val="000000"/>
        </w:rPr>
        <w:t> </w:t>
      </w:r>
    </w:p>
    <w:tbl>
      <w:tblPr>
        <w:tblW w:w="7503" w:type="dxa"/>
        <w:jc w:val="left"/>
        <w:tblInd w:w="0" w:type="dxa"/>
        <w:tblLayout w:type="fixed"/>
        <w:tblCellMar>
          <w:top w:w="0" w:type="dxa"/>
          <w:left w:w="0" w:type="dxa"/>
          <w:bottom w:w="0" w:type="dxa"/>
          <w:right w:w="0" w:type="dxa"/>
        </w:tblCellMar>
      </w:tblPr>
      <w:tblGrid>
        <w:gridCol w:w="38"/>
        <w:gridCol w:w="200"/>
        <w:gridCol w:w="726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7265" w:type="dxa"/>
            <w:tcBorders/>
            <w:vAlign w:val="center"/>
          </w:tcPr>
          <w:p>
            <w:pPr>
              <w:pStyle w:val="TableContents"/>
              <w:bidi w:val="0"/>
              <w:spacing w:before="0" w:after="0"/>
              <w:jc w:val="left"/>
              <w:rPr/>
            </w:pPr>
            <w:r>
              <w:rPr/>
              <w:t>I have reviewed this annual report on Form 20-F of Fiverr International Ltd.;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left"/>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left"/>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0"/>
              <w:jc w:val="left"/>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left"/>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pPr>
            <w:r>
              <w:rPr/>
              <w:t>Any fraud, whether or not material, that involves management or other employees who have a significant role in the company’s internal control over financial reporting.</w:t>
            </w:r>
          </w:p>
        </w:tc>
      </w:tr>
    </w:tbl>
    <w:p>
      <w:pPr>
        <w:pStyle w:val="TextBody"/>
        <w:bidi w:val="0"/>
        <w:spacing w:lineRule="auto" w:line="300" w:before="0" w:after="0"/>
        <w:jc w:val="left"/>
        <w:rPr>
          <w:color w:val="000000"/>
        </w:rPr>
      </w:pPr>
      <w:r>
        <w:rPr>
          <w:color w:val="000000"/>
        </w:rPr>
        <w:t> </w:t>
      </w:r>
    </w:p>
    <w:tbl>
      <w:tblPr>
        <w:tblW w:w="5655" w:type="dxa"/>
        <w:jc w:val="left"/>
        <w:tblInd w:w="0" w:type="dxa"/>
        <w:tblLayout w:type="fixed"/>
        <w:tblCellMar>
          <w:top w:w="0" w:type="dxa"/>
          <w:left w:w="0" w:type="dxa"/>
          <w:bottom w:w="0" w:type="dxa"/>
          <w:right w:w="0" w:type="dxa"/>
        </w:tblCellMar>
      </w:tblPr>
      <w:tblGrid>
        <w:gridCol w:w="2360"/>
        <w:gridCol w:w="380"/>
        <w:gridCol w:w="2840"/>
        <w:gridCol w:w="75"/>
      </w:tblGrid>
      <w:tr>
        <w:trPr/>
        <w:tc>
          <w:tcPr>
            <w:tcW w:w="2360" w:type="dxa"/>
            <w:tcBorders/>
            <w:vAlign w:val="center"/>
          </w:tcPr>
          <w:p>
            <w:pPr>
              <w:pStyle w:val="TableContents"/>
              <w:bidi w:val="0"/>
              <w:spacing w:lineRule="auto" w:line="300" w:before="0" w:after="0"/>
              <w:jc w:val="left"/>
              <w:rPr/>
            </w:pPr>
            <w:r>
              <w:rPr/>
              <w:t>Date: February 22, 2024</w:t>
            </w:r>
          </w:p>
        </w:tc>
        <w:tc>
          <w:tcPr>
            <w:tcW w:w="380" w:type="dxa"/>
            <w:tcBorders/>
            <w:vAlign w:val="center"/>
          </w:tcPr>
          <w:p>
            <w:pPr>
              <w:pStyle w:val="TableContents"/>
              <w:bidi w:val="0"/>
              <w:spacing w:lineRule="auto" w:line="300" w:before="0" w:after="0"/>
              <w:jc w:val="left"/>
              <w:rPr>
                <w:b/>
              </w:rPr>
            </w:pPr>
            <w:r>
              <w:rPr>
                <w:b/>
              </w:rPr>
              <w:t>By:</w:t>
            </w:r>
          </w:p>
        </w:tc>
        <w:tc>
          <w:tcPr>
            <w:tcW w:w="2840" w:type="dxa"/>
            <w:tcBorders>
              <w:bottom w:val="single" w:sz="12" w:space="0" w:color="000000"/>
            </w:tcBorders>
            <w:tcMar>
              <w:bottom w:w="28" w:type="dxa"/>
            </w:tcMar>
            <w:vAlign w:val="center"/>
          </w:tcPr>
          <w:p>
            <w:pPr>
              <w:pStyle w:val="TableContents"/>
              <w:bidi w:val="0"/>
              <w:spacing w:lineRule="auto" w:line="300" w:before="0" w:after="0"/>
              <w:jc w:val="center"/>
              <w:rPr>
                <w:b/>
              </w:rPr>
            </w:pPr>
            <w:r>
              <w:rPr>
                <w:b/>
              </w:rPr>
              <w:t>/s/ Micha Kaufman</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center"/>
              <w:rPr>
                <w:b/>
              </w:rPr>
            </w:pPr>
            <w:r>
              <w:rPr>
                <w:b/>
              </w:rPr>
              <w:t>Micha Kaufman</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center"/>
              <w:rPr>
                <w:b/>
              </w:rPr>
            </w:pPr>
            <w:r>
              <w:rPr>
                <w:b/>
              </w:rPr>
              <w:t>Chief Executive Officer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center"/>
              <w:rPr>
                <w:b/>
                <w:i/>
              </w:rPr>
            </w:pPr>
            <w:r>
              <w:rPr>
                <w:b/>
                <w:i/>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jc w:val="left"/>
        <w:rPr>
          <w:color w:val="000000"/>
        </w:rPr>
      </w:pPr>
      <w:r>
        <w:rPr>
          <w:color w:val="000000"/>
        </w:rPr>
        <w:t> </w:t>
      </w:r>
    </w:p>
    <w:p>
      <w:pPr>
        <w:pStyle w:val="HorizontalLine"/>
        <w:bidi w:val="0"/>
        <w:jc w:val="left"/>
        <w:rPr/>
      </w:pPr>
      <w:r>
        <w:rPr/>
      </w:r>
      <w:bookmarkStart w:id="654" w:name="exhibit_12-2.htm"/>
      <w:bookmarkStart w:id="655" w:name="ksexhibit_122"/>
      <w:bookmarkStart w:id="656" w:name="exhibit_12-2.htm"/>
      <w:bookmarkStart w:id="657" w:name="ksexhibit_122"/>
      <w:bookmarkEnd w:id="656"/>
      <w:bookmarkEnd w:id="657"/>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 Ofer Katz, President and Chief Financial Officer, certify that:</w:t>
      </w:r>
    </w:p>
    <w:p>
      <w:pPr>
        <w:pStyle w:val="TextBody"/>
        <w:bidi w:val="0"/>
        <w:spacing w:lineRule="auto" w:line="300" w:before="0" w:after="0"/>
        <w:jc w:val="left"/>
        <w:rPr>
          <w:color w:val="000000"/>
        </w:rPr>
      </w:pPr>
      <w:r>
        <w:rPr>
          <w:color w:val="000000"/>
        </w:rPr>
        <w:t> </w:t>
      </w:r>
    </w:p>
    <w:tbl>
      <w:tblPr>
        <w:tblW w:w="7503" w:type="dxa"/>
        <w:jc w:val="left"/>
        <w:tblInd w:w="0" w:type="dxa"/>
        <w:tblLayout w:type="fixed"/>
        <w:tblCellMar>
          <w:top w:w="0" w:type="dxa"/>
          <w:left w:w="0" w:type="dxa"/>
          <w:bottom w:w="0" w:type="dxa"/>
          <w:right w:w="0" w:type="dxa"/>
        </w:tblCellMar>
      </w:tblPr>
      <w:tblGrid>
        <w:gridCol w:w="38"/>
        <w:gridCol w:w="200"/>
        <w:gridCol w:w="726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7265" w:type="dxa"/>
            <w:tcBorders/>
            <w:vAlign w:val="center"/>
          </w:tcPr>
          <w:p>
            <w:pPr>
              <w:pStyle w:val="TableContents"/>
              <w:bidi w:val="0"/>
              <w:spacing w:before="0" w:after="0"/>
              <w:jc w:val="left"/>
              <w:rPr/>
            </w:pPr>
            <w:r>
              <w:rPr/>
              <w:t>I have reviewed this annual report on Form 20-F of Fiverr International Ltd.;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left"/>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left"/>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0"/>
              <w:jc w:val="left"/>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left"/>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pPr>
            <w:r>
              <w:rPr/>
              <w:t>Any fraud, whether or not material, that involves management or other employees who have a significant role in the company’s internal control over financial reporting.</w:t>
            </w:r>
          </w:p>
        </w:tc>
      </w:tr>
    </w:tbl>
    <w:p>
      <w:pPr>
        <w:pStyle w:val="TextBody"/>
        <w:bidi w:val="0"/>
        <w:spacing w:lineRule="auto" w:line="300" w:before="0" w:after="0"/>
        <w:jc w:val="left"/>
        <w:rPr>
          <w:color w:val="000000"/>
        </w:rPr>
      </w:pPr>
      <w:r>
        <w:rPr>
          <w:color w:val="000000"/>
        </w:rPr>
        <w:t> </w:t>
      </w:r>
    </w:p>
    <w:tbl>
      <w:tblPr>
        <w:tblW w:w="6630" w:type="dxa"/>
        <w:jc w:val="left"/>
        <w:tblInd w:w="0" w:type="dxa"/>
        <w:tblLayout w:type="fixed"/>
        <w:tblCellMar>
          <w:top w:w="0" w:type="dxa"/>
          <w:left w:w="0" w:type="dxa"/>
          <w:bottom w:w="0" w:type="dxa"/>
          <w:right w:w="0" w:type="dxa"/>
        </w:tblCellMar>
      </w:tblPr>
      <w:tblGrid>
        <w:gridCol w:w="2360"/>
        <w:gridCol w:w="380"/>
        <w:gridCol w:w="3815"/>
        <w:gridCol w:w="75"/>
      </w:tblGrid>
      <w:tr>
        <w:trPr/>
        <w:tc>
          <w:tcPr>
            <w:tcW w:w="2360" w:type="dxa"/>
            <w:tcBorders/>
            <w:vAlign w:val="center"/>
          </w:tcPr>
          <w:p>
            <w:pPr>
              <w:pStyle w:val="TableContents"/>
              <w:bidi w:val="0"/>
              <w:spacing w:lineRule="auto" w:line="300" w:before="0" w:after="0"/>
              <w:jc w:val="left"/>
              <w:rPr/>
            </w:pPr>
            <w:r>
              <w:rPr/>
              <w:t>Date: February 22, 2024</w:t>
            </w:r>
          </w:p>
        </w:tc>
        <w:tc>
          <w:tcPr>
            <w:tcW w:w="380" w:type="dxa"/>
            <w:tcBorders/>
            <w:vAlign w:val="center"/>
          </w:tcPr>
          <w:p>
            <w:pPr>
              <w:pStyle w:val="TableContents"/>
              <w:bidi w:val="0"/>
              <w:spacing w:lineRule="auto" w:line="300" w:before="0" w:after="0"/>
              <w:jc w:val="left"/>
              <w:rPr>
                <w:b/>
              </w:rPr>
            </w:pPr>
            <w:r>
              <w:rPr>
                <w:b/>
              </w:rPr>
              <w:t>By:</w:t>
            </w:r>
          </w:p>
        </w:tc>
        <w:tc>
          <w:tcPr>
            <w:tcW w:w="3815" w:type="dxa"/>
            <w:tcBorders>
              <w:bottom w:val="single" w:sz="12" w:space="0" w:color="000000"/>
            </w:tcBorders>
            <w:tcMar>
              <w:bottom w:w="28" w:type="dxa"/>
            </w:tcMar>
            <w:vAlign w:val="center"/>
          </w:tcPr>
          <w:p>
            <w:pPr>
              <w:pStyle w:val="TableContents"/>
              <w:bidi w:val="0"/>
              <w:spacing w:lineRule="auto" w:line="300" w:before="0" w:after="0"/>
              <w:jc w:val="center"/>
              <w:rPr>
                <w:b/>
              </w:rPr>
            </w:pPr>
            <w:r>
              <w:rPr>
                <w:b/>
              </w:rPr>
              <w:t>/s/ Ofer Katz</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lineRule="auto" w:line="300" w:before="0" w:after="0"/>
              <w:jc w:val="center"/>
              <w:rPr>
                <w:b/>
              </w:rPr>
            </w:pPr>
            <w:r>
              <w:rPr>
                <w:b/>
              </w:rPr>
              <w:t>Ofer Katz</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lineRule="auto" w:line="300" w:before="0" w:after="0"/>
              <w:jc w:val="center"/>
              <w:rPr>
                <w:b/>
              </w:rPr>
            </w:pPr>
            <w:r>
              <w:rPr>
                <w:b/>
              </w:rPr>
              <w:t>President and Chief Financial Officer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lineRule="auto" w:line="300" w:before="0" w:after="0"/>
              <w:jc w:val="center"/>
              <w:rPr>
                <w:b/>
                <w:i/>
              </w:rPr>
            </w:pPr>
            <w:r>
              <w:rPr>
                <w:b/>
                <w:i/>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jc w:val="left"/>
        <w:rPr/>
      </w:pPr>
      <w:r>
        <w:rPr/>
      </w:r>
    </w:p>
    <w:p>
      <w:pPr>
        <w:pStyle w:val="HorizontalLine"/>
        <w:bidi w:val="0"/>
        <w:jc w:val="left"/>
        <w:rPr/>
      </w:pPr>
      <w:r>
        <w:rPr/>
      </w:r>
      <w:bookmarkStart w:id="658" w:name="exhibit_13-1.htm"/>
      <w:bookmarkStart w:id="659" w:name="ksexhibit_131"/>
      <w:bookmarkStart w:id="660" w:name="exhibit_13-1.htm"/>
      <w:bookmarkStart w:id="661" w:name="ksexhibit_131"/>
      <w:bookmarkEnd w:id="660"/>
      <w:bookmarkEnd w:id="661"/>
      <w:r>
        <w:br w:type="page"/>
      </w:r>
    </w:p>
    <w:p>
      <w:pPr>
        <w:pStyle w:val="TextBody"/>
        <w:bidi w:val="0"/>
        <w:spacing w:lineRule="auto" w:line="300" w:before="0" w:after="0"/>
        <w:jc w:val="right"/>
        <w:rPr>
          <w:color w:val="000000"/>
        </w:rPr>
      </w:pPr>
      <w:r>
        <w:rPr>
          <w:color w:val="000000"/>
        </w:rPr>
        <w:t> </w:t>
      </w:r>
      <w:r>
        <w:rPr>
          <w:rFonts w:ascii="Times New Roman;Times;serif" w:hAnsi="Times New Roman;Times;serif"/>
          <w:b/>
          <w:color w:val="000000"/>
          <w:sz w:val="20"/>
          <w:u w:val="single"/>
        </w:rPr>
        <w:t>Exhibit 13.1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br/>
        <w:t>18 U.S.C. SECTION 1350, AS ADOPTED PURSUANT TO</w:t>
        <w:br/>
        <w:t>SECTION 906 OF THE SARBANES-OXLEY ACT OF 2002</w:t>
      </w:r>
    </w:p>
    <w:p>
      <w:pPr>
        <w:pStyle w:val="TextBody"/>
        <w:bidi w:val="0"/>
        <w:spacing w:lineRule="auto" w:line="300" w:before="0" w:after="0"/>
        <w:jc w:val="left"/>
        <w:rPr>
          <w:color w:val="000000"/>
        </w:rPr>
      </w:pPr>
      <w:r>
        <w:rPr>
          <w:color w:val="000000"/>
        </w:rPr>
        <w:t xml:space="preserve">   </w:t>
      </w:r>
    </w:p>
    <w:p>
      <w:pPr>
        <w:pStyle w:val="TextBody"/>
        <w:bidi w:val="0"/>
        <w:spacing w:lineRule="auto" w:line="300" w:before="0" w:after="0"/>
        <w:ind w:left="0" w:right="0" w:firstLine="566"/>
        <w:jc w:val="left"/>
        <w:rPr>
          <w:rFonts w:ascii="Times New Roman;Times;serif" w:hAnsi="Times New Roman;Times;serif"/>
          <w:color w:val="000000"/>
          <w:sz w:val="20"/>
        </w:rPr>
      </w:pPr>
      <w:r>
        <w:rPr>
          <w:rFonts w:ascii="Times New Roman;Times;serif" w:hAnsi="Times New Roman;Times;serif"/>
          <w:color w:val="000000"/>
          <w:sz w:val="20"/>
        </w:rPr>
        <w:t>The certification set forth below is being submitted in connection with the Annual Report on Form 20-F of Fiverr International Ltd. for the year ended December 31, 2023 (the “Report”) for the purpose of complying with Rule 13a-14(b) or Rule 15d-14(b) of the Securities Exchange Act of 1934 (the “Exchange Act”) and Section 1350 of Chapter 63 of Title 18 of the United States Code.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566"/>
        <w:jc w:val="left"/>
        <w:rPr>
          <w:rFonts w:ascii="Times New Roman;Times;serif" w:hAnsi="Times New Roman;Times;serif"/>
          <w:color w:val="000000"/>
          <w:sz w:val="20"/>
        </w:rPr>
      </w:pPr>
      <w:r>
        <w:rPr>
          <w:rFonts w:ascii="Times New Roman;Times;serif" w:hAnsi="Times New Roman;Times;serif"/>
          <w:color w:val="000000"/>
          <w:sz w:val="20"/>
        </w:rPr>
        <w:t>I, Micha Kaufman, Chief Executive Officer, certify that to the best of my knowledge:</w:t>
      </w:r>
    </w:p>
    <w:p>
      <w:pPr>
        <w:pStyle w:val="TextBody"/>
        <w:bidi w:val="0"/>
        <w:spacing w:lineRule="auto" w:line="300" w:before="0" w:after="0"/>
        <w:jc w:val="left"/>
        <w:rPr>
          <w:color w:val="000000"/>
        </w:rPr>
      </w:pPr>
      <w:r>
        <w:rPr>
          <w:color w:val="000000"/>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9395" w:type="dxa"/>
            <w:tcBorders/>
            <w:vAlign w:val="center"/>
          </w:tcPr>
          <w:p>
            <w:pPr>
              <w:pStyle w:val="TableContents"/>
              <w:bidi w:val="0"/>
              <w:spacing w:before="0" w:after="0"/>
              <w:jc w:val="left"/>
              <w:rPr/>
            </w:pPr>
            <w:r>
              <w:rPr/>
              <w:t>the Report fully complies with the requirements of Section 13(a) or 15(d) of the Exchange Act;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color w:val="000000"/>
        </w:rPr>
      </w:pPr>
      <w:r>
        <w:rPr>
          <w:color w:val="000000"/>
        </w:rPr>
        <w:t xml:space="preserve">   </w:t>
      </w:r>
    </w:p>
    <w:tbl>
      <w:tblPr>
        <w:tblW w:w="5655" w:type="dxa"/>
        <w:jc w:val="left"/>
        <w:tblInd w:w="0" w:type="dxa"/>
        <w:tblLayout w:type="fixed"/>
        <w:tblCellMar>
          <w:top w:w="0" w:type="dxa"/>
          <w:left w:w="0" w:type="dxa"/>
          <w:bottom w:w="0" w:type="dxa"/>
          <w:right w:w="0" w:type="dxa"/>
        </w:tblCellMar>
      </w:tblPr>
      <w:tblGrid>
        <w:gridCol w:w="2360"/>
        <w:gridCol w:w="380"/>
        <w:gridCol w:w="2840"/>
        <w:gridCol w:w="75"/>
      </w:tblGrid>
      <w:tr>
        <w:trPr/>
        <w:tc>
          <w:tcPr>
            <w:tcW w:w="2360" w:type="dxa"/>
            <w:tcBorders/>
            <w:vAlign w:val="center"/>
          </w:tcPr>
          <w:p>
            <w:pPr>
              <w:pStyle w:val="TableContents"/>
              <w:bidi w:val="0"/>
              <w:spacing w:lineRule="auto" w:line="300" w:before="0" w:after="0"/>
              <w:jc w:val="left"/>
              <w:rPr/>
            </w:pPr>
            <w:r>
              <w:rPr/>
              <w:t>Date: February 22, 2024</w:t>
            </w:r>
          </w:p>
        </w:tc>
        <w:tc>
          <w:tcPr>
            <w:tcW w:w="380" w:type="dxa"/>
            <w:tcBorders/>
            <w:vAlign w:val="center"/>
          </w:tcPr>
          <w:p>
            <w:pPr>
              <w:pStyle w:val="TableContents"/>
              <w:bidi w:val="0"/>
              <w:spacing w:lineRule="auto" w:line="300" w:before="0" w:after="0"/>
              <w:jc w:val="left"/>
              <w:rPr>
                <w:b/>
              </w:rPr>
            </w:pPr>
            <w:r>
              <w:rPr>
                <w:b/>
              </w:rPr>
              <w:t>By:</w:t>
            </w:r>
          </w:p>
        </w:tc>
        <w:tc>
          <w:tcPr>
            <w:tcW w:w="2840" w:type="dxa"/>
            <w:tcBorders>
              <w:bottom w:val="single" w:sz="12" w:space="0" w:color="000000"/>
            </w:tcBorders>
            <w:tcMar>
              <w:bottom w:w="28" w:type="dxa"/>
            </w:tcMar>
            <w:vAlign w:val="center"/>
          </w:tcPr>
          <w:p>
            <w:pPr>
              <w:pStyle w:val="TableContents"/>
              <w:bidi w:val="0"/>
              <w:spacing w:lineRule="auto" w:line="300" w:before="0" w:after="0"/>
              <w:jc w:val="center"/>
              <w:rPr>
                <w:b/>
              </w:rPr>
            </w:pPr>
            <w:r>
              <w:rPr>
                <w:b/>
              </w:rPr>
              <w:t>/s/ Micha Kaufman</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center"/>
              <w:rPr>
                <w:b/>
              </w:rPr>
            </w:pPr>
            <w:r>
              <w:rPr>
                <w:b/>
              </w:rPr>
              <w:t>Micha Kaufman</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center"/>
              <w:rPr>
                <w:b/>
              </w:rPr>
            </w:pPr>
            <w:r>
              <w:rPr>
                <w:b/>
              </w:rPr>
              <w:t>Chief Executive Officer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lineRule="auto" w:line="300" w:before="0" w:after="0"/>
              <w:jc w:val="center"/>
              <w:rPr>
                <w:b/>
                <w:i/>
              </w:rPr>
            </w:pPr>
            <w:r>
              <w:rPr>
                <w:b/>
                <w:i/>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jc w:val="left"/>
        <w:rPr/>
      </w:pPr>
      <w:r>
        <w:rPr/>
      </w:r>
    </w:p>
    <w:p>
      <w:pPr>
        <w:pStyle w:val="HorizontalLine"/>
        <w:bidi w:val="0"/>
        <w:jc w:val="left"/>
        <w:rPr/>
      </w:pPr>
      <w:r>
        <w:rPr/>
      </w:r>
      <w:bookmarkStart w:id="662" w:name="exhibit_13-2.htm"/>
      <w:bookmarkStart w:id="663" w:name="ksexhibit_132"/>
      <w:bookmarkStart w:id="664" w:name="exhibit_13-2.htm"/>
      <w:bookmarkStart w:id="665" w:name="ksexhibit_132"/>
      <w:bookmarkEnd w:id="664"/>
      <w:bookmarkEnd w:id="665"/>
      <w:r>
        <w:br w:type="page"/>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b/>
          <w:color w:val="000000"/>
          <w:sz w:val="20"/>
          <w:u w:val="single"/>
        </w:rPr>
        <w:t>Exhibit 13.2</w:t>
      </w:r>
      <w:r>
        <w:rPr>
          <w:rFonts w:ascii="Times New Roman;Times;serif" w:hAnsi="Times New Roman;Times;serif"/>
          <w:color w:val="000000"/>
          <w:sz w:val="20"/>
        </w:rPr>
        <w:t xml:space="preserv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br/>
        <w:t>18 U.S.C. SECTION 1350, AS ADOPTED PURSUANT TO</w:t>
        <w:br/>
        <w:t>SECTION 906 OF THE SARBANES-OXLEY ACT OF 2002</w:t>
      </w:r>
    </w:p>
    <w:p>
      <w:pPr>
        <w:pStyle w:val="TextBody"/>
        <w:bidi w:val="0"/>
        <w:spacing w:lineRule="auto" w:line="300" w:before="0" w:after="0"/>
        <w:jc w:val="left"/>
        <w:rPr>
          <w:color w:val="000000"/>
        </w:rPr>
      </w:pPr>
      <w:r>
        <w:rPr>
          <w:color w:val="000000"/>
        </w:rPr>
        <w:t xml:space="preserve">   </w:t>
      </w:r>
    </w:p>
    <w:p>
      <w:pPr>
        <w:pStyle w:val="TextBody"/>
        <w:bidi w:val="0"/>
        <w:spacing w:lineRule="auto" w:line="300" w:before="0" w:after="0"/>
        <w:ind w:left="0" w:right="0" w:firstLine="566"/>
        <w:jc w:val="left"/>
        <w:rPr>
          <w:rFonts w:ascii="Times New Roman;Times;serif" w:hAnsi="Times New Roman;Times;serif"/>
          <w:color w:val="000000"/>
          <w:sz w:val="20"/>
        </w:rPr>
      </w:pPr>
      <w:r>
        <w:rPr>
          <w:rFonts w:ascii="Times New Roman;Times;serif" w:hAnsi="Times New Roman;Times;serif"/>
          <w:color w:val="000000"/>
          <w:sz w:val="20"/>
        </w:rPr>
        <w:t>The certification set forth below is being submitted in connection with the Annual Report on Form 20-F of Fiverr International Ltd. for the year ended December 31, 2023 (the “Report”) for the purpose of complying with Rule 13a-14(b) or Rule 15d-14(b) of the Securities Exchange Act of 1934 (the “Exchange Act”) and Section 1350 of Chapter 63 of Title 18 of the United States Code.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566"/>
        <w:jc w:val="left"/>
        <w:rPr>
          <w:rFonts w:ascii="Times New Roman;Times;serif" w:hAnsi="Times New Roman;Times;serif"/>
          <w:color w:val="000000"/>
          <w:sz w:val="20"/>
        </w:rPr>
      </w:pPr>
      <w:r>
        <w:rPr>
          <w:rFonts w:ascii="Times New Roman;Times;serif" w:hAnsi="Times New Roman;Times;serif"/>
          <w:color w:val="000000"/>
          <w:sz w:val="20"/>
        </w:rPr>
        <w:t>I, Ofer Katz, Chief Financial Officer, certify that to the best of my knowledge:</w:t>
      </w:r>
    </w:p>
    <w:p>
      <w:pPr>
        <w:pStyle w:val="TextBody"/>
        <w:bidi w:val="0"/>
        <w:spacing w:lineRule="auto" w:line="300" w:before="0" w:after="0"/>
        <w:jc w:val="left"/>
        <w:rPr>
          <w:color w:val="000000"/>
        </w:rPr>
      </w:pPr>
      <w:r>
        <w:rPr>
          <w:color w:val="000000"/>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9395" w:type="dxa"/>
            <w:tcBorders/>
            <w:vAlign w:val="center"/>
          </w:tcPr>
          <w:p>
            <w:pPr>
              <w:pStyle w:val="TableContents"/>
              <w:bidi w:val="0"/>
              <w:spacing w:before="0" w:after="0"/>
              <w:jc w:val="left"/>
              <w:rPr/>
            </w:pPr>
            <w:r>
              <w:rPr/>
              <w:t>the Report fully complies with the requirements of Section 13(a) or 15(d) of the Exchange Act; and</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color w:val="000000"/>
        </w:rPr>
      </w:pPr>
      <w:r>
        <w:rPr>
          <w:color w:val="000000"/>
        </w:rPr>
        <w:t xml:space="preserve">   </w:t>
      </w:r>
    </w:p>
    <w:tbl>
      <w:tblPr>
        <w:tblW w:w="6630" w:type="dxa"/>
        <w:jc w:val="left"/>
        <w:tblInd w:w="0" w:type="dxa"/>
        <w:tblLayout w:type="fixed"/>
        <w:tblCellMar>
          <w:top w:w="0" w:type="dxa"/>
          <w:left w:w="0" w:type="dxa"/>
          <w:bottom w:w="0" w:type="dxa"/>
          <w:right w:w="0" w:type="dxa"/>
        </w:tblCellMar>
      </w:tblPr>
      <w:tblGrid>
        <w:gridCol w:w="2360"/>
        <w:gridCol w:w="380"/>
        <w:gridCol w:w="3815"/>
        <w:gridCol w:w="75"/>
      </w:tblGrid>
      <w:tr>
        <w:trPr/>
        <w:tc>
          <w:tcPr>
            <w:tcW w:w="2360" w:type="dxa"/>
            <w:tcBorders/>
            <w:vAlign w:val="center"/>
          </w:tcPr>
          <w:p>
            <w:pPr>
              <w:pStyle w:val="TableContents"/>
              <w:bidi w:val="0"/>
              <w:spacing w:lineRule="auto" w:line="300" w:before="0" w:after="0"/>
              <w:jc w:val="left"/>
              <w:rPr/>
            </w:pPr>
            <w:r>
              <w:rPr/>
              <w:t>Date: February 22, 2024</w:t>
            </w:r>
          </w:p>
        </w:tc>
        <w:tc>
          <w:tcPr>
            <w:tcW w:w="380" w:type="dxa"/>
            <w:tcBorders/>
            <w:vAlign w:val="center"/>
          </w:tcPr>
          <w:p>
            <w:pPr>
              <w:pStyle w:val="TableContents"/>
              <w:bidi w:val="0"/>
              <w:spacing w:lineRule="auto" w:line="300" w:before="0" w:after="0"/>
              <w:jc w:val="left"/>
              <w:rPr>
                <w:b/>
              </w:rPr>
            </w:pPr>
            <w:r>
              <w:rPr>
                <w:b/>
              </w:rPr>
              <w:t>By:</w:t>
            </w:r>
          </w:p>
        </w:tc>
        <w:tc>
          <w:tcPr>
            <w:tcW w:w="3815" w:type="dxa"/>
            <w:tcBorders>
              <w:bottom w:val="single" w:sz="12" w:space="0" w:color="000000"/>
            </w:tcBorders>
            <w:tcMar>
              <w:bottom w:w="28" w:type="dxa"/>
            </w:tcMar>
            <w:vAlign w:val="center"/>
          </w:tcPr>
          <w:p>
            <w:pPr>
              <w:pStyle w:val="TableContents"/>
              <w:bidi w:val="0"/>
              <w:spacing w:lineRule="auto" w:line="300" w:before="0" w:after="0"/>
              <w:jc w:val="center"/>
              <w:rPr>
                <w:b/>
              </w:rPr>
            </w:pPr>
            <w:r>
              <w:rPr>
                <w:b/>
              </w:rPr>
              <w:t>/s/ Ofer Katz</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lineRule="auto" w:line="300" w:before="0" w:after="0"/>
              <w:jc w:val="center"/>
              <w:rPr>
                <w:b/>
              </w:rPr>
            </w:pPr>
            <w:r>
              <w:rPr>
                <w:b/>
              </w:rPr>
              <w:t>Ofer Katz</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lineRule="auto" w:line="300" w:before="0" w:after="0"/>
              <w:jc w:val="center"/>
              <w:rPr>
                <w:b/>
              </w:rPr>
            </w:pPr>
            <w:r>
              <w:rPr>
                <w:b/>
              </w:rPr>
              <w:t>President and Chief Financial Officer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lineRule="auto" w:line="300" w:before="0" w:after="0"/>
              <w:jc w:val="center"/>
              <w:rPr>
                <w:b/>
                <w:i/>
              </w:rPr>
            </w:pPr>
            <w:r>
              <w:rPr>
                <w:b/>
                <w:i/>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jc w:val="left"/>
        <w:rPr/>
      </w:pPr>
      <w:r>
        <w:rPr/>
      </w:r>
    </w:p>
    <w:p>
      <w:pPr>
        <w:pStyle w:val="HorizontalLine"/>
        <w:bidi w:val="0"/>
        <w:jc w:val="left"/>
        <w:rPr/>
      </w:pPr>
      <w:r>
        <w:rPr/>
      </w:r>
      <w:bookmarkStart w:id="666" w:name="exhibit_15-1.htm"/>
      <w:bookmarkStart w:id="667" w:name="ksexhibit_151"/>
      <w:bookmarkStart w:id="668" w:name="exhibit_15-1.htm"/>
      <w:bookmarkStart w:id="669" w:name="ksexhibit_151"/>
      <w:bookmarkEnd w:id="668"/>
      <w:bookmarkEnd w:id="669"/>
      <w:r>
        <w:br w:type="page"/>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b/>
          <w:color w:val="000000"/>
          <w:sz w:val="20"/>
          <w:u w:val="single"/>
        </w:rPr>
        <w:t>Exhibit 15.1</w:t>
      </w:r>
      <w:r>
        <w:rPr>
          <w:rFonts w:ascii="Times New Roman;Times;serif" w:hAnsi="Times New Roman;Times;serif"/>
          <w:color w:val="000000"/>
          <w:sz w:val="20"/>
        </w:rPr>
        <w:t xml:space="preserv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CONSENT OF INDEPENDENT REGISTERED PUBLIC ACCOUNTING FIRM</w:t>
      </w:r>
    </w:p>
    <w:p>
      <w:pPr>
        <w:pStyle w:val="TextBody"/>
        <w:bidi w:val="0"/>
        <w:spacing w:lineRule="auto" w:line="300" w:before="0" w:after="0"/>
        <w:jc w:val="left"/>
        <w:rPr>
          <w:color w:val="000000"/>
        </w:rPr>
      </w:pPr>
      <w:r>
        <w:rPr>
          <w:color w:val="000000"/>
        </w:rPr>
        <w:t xml:space="preserve">  </w:t>
      </w:r>
    </w:p>
    <w:p>
      <w:pPr>
        <w:pStyle w:val="TextBody"/>
        <w:bidi w:val="0"/>
        <w:spacing w:lineRule="auto" w:line="300"/>
        <w:jc w:val="left"/>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following Registration Statements:</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lineRule="auto" w:line="300" w:before="0" w:after="0"/>
              <w:jc w:val="left"/>
              <w:rPr/>
            </w:pPr>
            <w:r>
              <w:rPr/>
              <w:t>(1)</w:t>
            </w:r>
          </w:p>
        </w:tc>
        <w:tc>
          <w:tcPr>
            <w:tcW w:w="9951" w:type="dxa"/>
            <w:tcBorders/>
            <w:vAlign w:val="center"/>
          </w:tcPr>
          <w:p>
            <w:pPr>
              <w:pStyle w:val="TableContents"/>
              <w:bidi w:val="0"/>
              <w:spacing w:lineRule="auto" w:line="300" w:before="0" w:after="0"/>
              <w:jc w:val="left"/>
              <w:rPr/>
            </w:pPr>
            <w:r>
              <w:rPr/>
              <w:t>Registration Statement Form F-3 ASR No. 333-253782 of Fiverr International Ltd., and</w:t>
            </w:r>
          </w:p>
          <w:p>
            <w:pPr>
              <w:pStyle w:val="TableContents"/>
              <w:bidi w:val="0"/>
              <w:spacing w:lineRule="auto" w:line="300" w:before="0" w:after="0"/>
              <w:jc w:val="left"/>
              <w:rPr/>
            </w:pPr>
            <w:r>
              <w:rPr/>
            </w:r>
          </w:p>
        </w:tc>
      </w:tr>
      <w:tr>
        <w:trPr/>
        <w:tc>
          <w:tcPr>
            <w:tcW w:w="254" w:type="dxa"/>
            <w:tcBorders/>
            <w:vAlign w:val="center"/>
          </w:tcPr>
          <w:p>
            <w:pPr>
              <w:pStyle w:val="TableContents"/>
              <w:bidi w:val="0"/>
              <w:spacing w:lineRule="auto" w:line="300" w:before="0" w:after="0"/>
              <w:jc w:val="left"/>
              <w:rPr/>
            </w:pPr>
            <w:r>
              <w:rPr/>
              <w:t>(2)</w:t>
            </w:r>
          </w:p>
        </w:tc>
        <w:tc>
          <w:tcPr>
            <w:tcW w:w="9951" w:type="dxa"/>
            <w:tcBorders/>
            <w:vAlign w:val="center"/>
          </w:tcPr>
          <w:p>
            <w:pPr>
              <w:pStyle w:val="TableContents"/>
              <w:bidi w:val="0"/>
              <w:spacing w:lineRule="auto" w:line="300" w:before="0" w:after="0"/>
              <w:jc w:val="left"/>
              <w:rPr/>
            </w:pPr>
            <w:r>
              <w:rPr/>
              <w:t>Registration Statements Form S-8 Nos. 333-232310, 333-237511, 333-253261, 333-248580, 333-262814, 333-262817, 333-270990 and 333-270992, pertaining either to the 2019 Share Incentive Plan, 2011 Share Option Plan and the 2020 Employee Share Purchase Plan of Fiverr International Ltd.,</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of our reports dated February 22, 2024, with respect to the consolidated financial statements of Fiverr International Ltd., and the effectiveness of internal control over financial reporting of Fiverr International Ltd., included in this Annual Report (Form 20-F) of Fiverr International Ltd. for the year ended December 31, 2023.</w:t>
      </w:r>
    </w:p>
    <w:p>
      <w:pPr>
        <w:pStyle w:val="TextBody"/>
        <w:bidi w:val="0"/>
        <w:spacing w:lineRule="auto" w:line="300" w:before="0" w:after="0"/>
        <w:jc w:val="left"/>
        <w:rPr>
          <w:color w:val="000000"/>
        </w:rPr>
      </w:pPr>
      <w:r>
        <w:rPr>
          <w:color w:val="000000"/>
        </w:rPr>
        <w:t> </w:t>
      </w:r>
    </w:p>
    <w:tbl>
      <w:tblPr>
        <w:tblW w:w="4550" w:type="dxa"/>
        <w:jc w:val="left"/>
        <w:tblInd w:w="0" w:type="dxa"/>
        <w:tblLayout w:type="fixed"/>
        <w:tblCellMar>
          <w:top w:w="0" w:type="dxa"/>
          <w:left w:w="0" w:type="dxa"/>
          <w:bottom w:w="0" w:type="dxa"/>
          <w:right w:w="0" w:type="dxa"/>
        </w:tblCellMar>
      </w:tblPr>
      <w:tblGrid>
        <w:gridCol w:w="4475"/>
        <w:gridCol w:w="75"/>
      </w:tblGrid>
      <w:tr>
        <w:trPr/>
        <w:tc>
          <w:tcPr>
            <w:tcW w:w="4475" w:type="dxa"/>
            <w:tcBorders/>
            <w:vAlign w:val="center"/>
          </w:tcPr>
          <w:p>
            <w:pPr>
              <w:pStyle w:val="TableContents"/>
              <w:bidi w:val="0"/>
              <w:spacing w:lineRule="auto" w:line="300" w:before="0" w:after="0"/>
              <w:jc w:val="left"/>
              <w:rPr/>
            </w:pPr>
            <w:r>
              <w:rPr>
                <w:u w:val="single"/>
              </w:rPr>
              <w:t> </w:t>
            </w:r>
            <w:r>
              <w:rPr>
                <w:u w:val="single"/>
              </w:rPr>
              <w:t>/s/ KOST FORER GABBAY &amp; KASIERER</w:t>
            </w:r>
            <w:r>
              <w:rPr/>
              <w:br/>
              <w:t>A Member of Ernst &amp; Young Global</w:t>
            </w:r>
          </w:p>
          <w:p>
            <w:pPr>
              <w:pStyle w:val="TableContents"/>
              <w:bidi w:val="0"/>
              <w:spacing w:lineRule="auto" w:line="300" w:before="0" w:after="0"/>
              <w:jc w:val="left"/>
              <w:rPr/>
            </w:pPr>
            <w:r>
              <w:rPr/>
            </w:r>
          </w:p>
          <w:p>
            <w:pPr>
              <w:pStyle w:val="TableContents"/>
              <w:bidi w:val="0"/>
              <w:spacing w:lineRule="auto" w:line="300" w:before="0" w:after="0"/>
              <w:jc w:val="left"/>
              <w:rPr/>
            </w:pPr>
            <w:r>
              <w:rPr/>
              <w:t>February 22, 2024</w:t>
            </w:r>
          </w:p>
          <w:p>
            <w:pPr>
              <w:pStyle w:val="TableContents"/>
              <w:bidi w:val="0"/>
              <w:spacing w:lineRule="auto" w:line="300" w:before="0" w:after="0"/>
              <w:jc w:val="left"/>
              <w:rPr/>
            </w:pPr>
            <w:r>
              <w:rPr/>
              <w:t>Tel-Aviv, Israel</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jc w:val="left"/>
        <w:rPr/>
      </w:pPr>
      <w:r>
        <w:rPr/>
      </w:r>
    </w:p>
    <w:p>
      <w:pPr>
        <w:pStyle w:val="HorizontalLine"/>
        <w:bidi w:val="0"/>
        <w:jc w:val="left"/>
        <w:rPr/>
      </w:pPr>
      <w:r>
        <w:rPr/>
      </w:r>
      <w:bookmarkStart w:id="670" w:name="exhibit_97-1.htm"/>
      <w:bookmarkStart w:id="671" w:name="ksexhibit_971"/>
      <w:bookmarkStart w:id="672" w:name="exhibit_97-1.htm"/>
      <w:bookmarkStart w:id="673" w:name="ksexhibit_971"/>
      <w:bookmarkEnd w:id="672"/>
      <w:bookmarkEnd w:id="67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97.1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FIVERR INTERNATIONAL LTD.</w:t>
        <w:br/>
        <w:t>POLICY FOR RECOVERY OF ERRONEOUSLY AWARDED COMPENSATION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Fiverr International Ltd. (the “</w:t>
      </w:r>
      <w:r>
        <w:rPr>
          <w:rFonts w:ascii="Times New Roman;Times;serif" w:hAnsi="Times New Roman;Times;serif"/>
          <w:b/>
          <w:i/>
          <w:color w:val="000000"/>
          <w:sz w:val="20"/>
        </w:rPr>
        <w:t>Company</w:t>
      </w:r>
      <w:r>
        <w:rPr>
          <w:rFonts w:ascii="Times New Roman;Times;serif" w:hAnsi="Times New Roman;Times;serif"/>
          <w:color w:val="000000"/>
          <w:sz w:val="20"/>
        </w:rPr>
        <w:t>”) has adopted this Policy for Recovery of Erroneously Awarded Compensation (the “</w:t>
      </w:r>
      <w:r>
        <w:rPr>
          <w:rFonts w:ascii="Times New Roman;Times;serif" w:hAnsi="Times New Roman;Times;serif"/>
          <w:b/>
          <w:i/>
          <w:color w:val="000000"/>
          <w:sz w:val="20"/>
        </w:rPr>
        <w:t>Policy</w:t>
      </w:r>
      <w:r>
        <w:rPr>
          <w:rFonts w:ascii="Times New Roman;Times;serif" w:hAnsi="Times New Roman;Times;serif"/>
          <w:color w:val="000000"/>
          <w:sz w:val="20"/>
        </w:rPr>
        <w:t>”), effective as of October 2, 2023 (the “</w:t>
      </w:r>
      <w:r>
        <w:rPr>
          <w:rFonts w:ascii="Times New Roman;Times;serif" w:hAnsi="Times New Roman;Times;serif"/>
          <w:b/>
          <w:i/>
          <w:color w:val="000000"/>
          <w:sz w:val="20"/>
        </w:rPr>
        <w:t>Effective Date</w:t>
      </w:r>
      <w:r>
        <w:rPr>
          <w:rFonts w:ascii="Times New Roman;Times;serif" w:hAnsi="Times New Roman;Times;serif"/>
          <w:color w:val="000000"/>
          <w:sz w:val="20"/>
        </w:rPr>
        <w:t>”). Capitalized terms used in this Policy but not otherwise defined herein are defined in Section 11.</w:t>
      </w:r>
    </w:p>
    <w:p>
      <w:pPr>
        <w:pStyle w:val="TextBody"/>
        <w:bidi w:val="0"/>
        <w:spacing w:lineRule="auto" w:line="300" w:before="0" w:after="0"/>
        <w:jc w:val="left"/>
        <w:rPr>
          <w:color w:val="000000"/>
        </w:rPr>
      </w:pPr>
      <w:r>
        <w:rPr>
          <w:color w:val="000000"/>
        </w:rPr>
        <w:t> </w:t>
      </w:r>
    </w:p>
    <w:tbl>
      <w:tblPr>
        <w:tblW w:w="2980" w:type="dxa"/>
        <w:jc w:val="left"/>
        <w:tblInd w:w="0" w:type="dxa"/>
        <w:tblLayout w:type="fixed"/>
        <w:tblCellMar>
          <w:top w:w="0" w:type="dxa"/>
          <w:left w:w="0" w:type="dxa"/>
          <w:bottom w:w="0" w:type="dxa"/>
          <w:right w:w="0" w:type="dxa"/>
        </w:tblCellMar>
      </w:tblPr>
      <w:tblGrid>
        <w:gridCol w:w="395"/>
        <w:gridCol w:w="2585"/>
      </w:tblGrid>
      <w:tr>
        <w:trPr/>
        <w:tc>
          <w:tcPr>
            <w:tcW w:w="395" w:type="dxa"/>
            <w:tcBorders/>
            <w:vAlign w:val="center"/>
          </w:tcPr>
          <w:p>
            <w:pPr>
              <w:pStyle w:val="TableContents"/>
              <w:bidi w:val="0"/>
              <w:spacing w:before="0" w:after="283"/>
              <w:jc w:val="left"/>
              <w:rPr>
                <w:b/>
              </w:rPr>
            </w:pPr>
            <w:r>
              <w:rPr>
                <w:b/>
              </w:rPr>
              <w:t xml:space="preserve">1.   </w:t>
            </w:r>
          </w:p>
        </w:tc>
        <w:tc>
          <w:tcPr>
            <w:tcW w:w="2585" w:type="dxa"/>
            <w:tcBorders/>
            <w:vAlign w:val="center"/>
          </w:tcPr>
          <w:p>
            <w:pPr>
              <w:pStyle w:val="TableContents"/>
              <w:bidi w:val="0"/>
              <w:spacing w:before="0" w:after="0"/>
              <w:jc w:val="left"/>
              <w:rPr>
                <w:b/>
                <w:u w:val="single"/>
              </w:rPr>
            </w:pPr>
            <w:r>
              <w:rPr>
                <w:b/>
                <w:u w:val="single"/>
              </w:rPr>
              <w:t>Persons Subject to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 In addition, the Committee and the Board may apply this Policy to persons who are not Officers, and such application shall apply in the manner determined by the Committee or the Board in their sole discretion and which application shall be communicated to any such persons.</w:t>
      </w:r>
    </w:p>
    <w:p>
      <w:pPr>
        <w:pStyle w:val="TextBody"/>
        <w:bidi w:val="0"/>
        <w:spacing w:lineRule="auto" w:line="300" w:before="0" w:after="0"/>
        <w:jc w:val="left"/>
        <w:rPr>
          <w:color w:val="000000"/>
        </w:rPr>
      </w:pPr>
      <w:r>
        <w:rPr>
          <w:color w:val="000000"/>
        </w:rPr>
        <w:t> </w:t>
      </w:r>
    </w:p>
    <w:tbl>
      <w:tblPr>
        <w:tblW w:w="3595" w:type="dxa"/>
        <w:jc w:val="left"/>
        <w:tblInd w:w="0" w:type="dxa"/>
        <w:tblLayout w:type="fixed"/>
        <w:tblCellMar>
          <w:top w:w="0" w:type="dxa"/>
          <w:left w:w="0" w:type="dxa"/>
          <w:bottom w:w="0" w:type="dxa"/>
          <w:right w:w="0" w:type="dxa"/>
        </w:tblCellMar>
      </w:tblPr>
      <w:tblGrid>
        <w:gridCol w:w="335"/>
        <w:gridCol w:w="3260"/>
      </w:tblGrid>
      <w:tr>
        <w:trPr/>
        <w:tc>
          <w:tcPr>
            <w:tcW w:w="335" w:type="dxa"/>
            <w:tcBorders/>
            <w:vAlign w:val="center"/>
          </w:tcPr>
          <w:p>
            <w:pPr>
              <w:pStyle w:val="TableContents"/>
              <w:bidi w:val="0"/>
              <w:spacing w:before="0" w:after="283"/>
              <w:jc w:val="left"/>
              <w:rPr>
                <w:b/>
              </w:rPr>
            </w:pPr>
            <w:r>
              <w:rPr>
                <w:b/>
              </w:rPr>
              <w:t xml:space="preserve">2.  </w:t>
            </w:r>
          </w:p>
        </w:tc>
        <w:tc>
          <w:tcPr>
            <w:tcW w:w="3260" w:type="dxa"/>
            <w:tcBorders/>
            <w:vAlign w:val="center"/>
          </w:tcPr>
          <w:p>
            <w:pPr>
              <w:pStyle w:val="TableContents"/>
              <w:bidi w:val="0"/>
              <w:spacing w:before="0" w:after="0"/>
              <w:jc w:val="left"/>
              <w:rPr>
                <w:b/>
                <w:u w:val="single"/>
              </w:rPr>
            </w:pPr>
            <w:r>
              <w:rPr>
                <w:b/>
                <w:u w:val="single"/>
              </w:rPr>
              <w:t>Compensation Subject to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300" w:before="0" w:after="0"/>
        <w:jc w:val="left"/>
        <w:rPr>
          <w:color w:val="000000"/>
        </w:rPr>
      </w:pPr>
      <w:r>
        <w:rPr>
          <w:color w:val="000000"/>
        </w:rPr>
        <w:t> </w:t>
      </w:r>
    </w:p>
    <w:tbl>
      <w:tblPr>
        <w:tblW w:w="3175" w:type="dxa"/>
        <w:jc w:val="left"/>
        <w:tblInd w:w="0" w:type="dxa"/>
        <w:tblLayout w:type="fixed"/>
        <w:tblCellMar>
          <w:top w:w="0" w:type="dxa"/>
          <w:left w:w="0" w:type="dxa"/>
          <w:bottom w:w="0" w:type="dxa"/>
          <w:right w:w="0" w:type="dxa"/>
        </w:tblCellMar>
      </w:tblPr>
      <w:tblGrid>
        <w:gridCol w:w="395"/>
        <w:gridCol w:w="2780"/>
      </w:tblGrid>
      <w:tr>
        <w:trPr/>
        <w:tc>
          <w:tcPr>
            <w:tcW w:w="395" w:type="dxa"/>
            <w:tcBorders/>
            <w:vAlign w:val="center"/>
          </w:tcPr>
          <w:p>
            <w:pPr>
              <w:pStyle w:val="TableContents"/>
              <w:bidi w:val="0"/>
              <w:spacing w:before="0" w:after="283"/>
              <w:jc w:val="left"/>
              <w:rPr>
                <w:b/>
              </w:rPr>
            </w:pPr>
            <w:r>
              <w:rPr>
                <w:b/>
              </w:rPr>
              <w:t xml:space="preserve">3.   </w:t>
            </w:r>
          </w:p>
        </w:tc>
        <w:tc>
          <w:tcPr>
            <w:tcW w:w="2780" w:type="dxa"/>
            <w:tcBorders/>
            <w:vAlign w:val="center"/>
          </w:tcPr>
          <w:p>
            <w:pPr>
              <w:pStyle w:val="TableContents"/>
              <w:bidi w:val="0"/>
              <w:spacing w:before="0" w:after="0"/>
              <w:jc w:val="left"/>
              <w:rPr>
                <w:b/>
                <w:u w:val="single"/>
              </w:rPr>
            </w:pPr>
            <w:r>
              <w:rPr>
                <w:b/>
                <w:u w:val="single"/>
              </w:rPr>
              <w:t>Recovery of Compensation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4" w:name="z950a69f9b3944e4fbc2b6ded554121d3"/>
      <w:bookmarkStart w:id="675" w:name="z950a69f9b3944e4fbc2b6ded554121d3"/>
      <w:bookmarkEnd w:id="675"/>
    </w:p>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lineRule="auto" w:line="300" w:before="0" w:after="0"/>
              <w:jc w:val="left"/>
              <w:rPr>
                <w:b/>
              </w:rPr>
            </w:pPr>
            <w:r>
              <w:rPr>
                <w:b/>
              </w:rPr>
              <w:t>4.</w:t>
            </w:r>
          </w:p>
        </w:tc>
        <w:tc>
          <w:tcPr>
            <w:tcW w:w="5885" w:type="dxa"/>
            <w:tcBorders/>
            <w:vAlign w:val="center"/>
          </w:tcPr>
          <w:p>
            <w:pPr>
              <w:pStyle w:val="TableContents"/>
              <w:bidi w:val="0"/>
              <w:spacing w:lineRule="auto" w:line="300" w:before="0" w:after="0"/>
              <w:jc w:val="left"/>
              <w:rPr>
                <w:b/>
                <w:u w:val="single"/>
              </w:rPr>
            </w:pPr>
            <w:r>
              <w:rPr>
                <w:b/>
                <w:u w:val="single"/>
              </w:rPr>
              <w:t>Manner of Recovery; Limitation on Duplicative Recovery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Committee and the Board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b/>
              </w:rPr>
            </w:pPr>
            <w:r>
              <w:rPr>
                <w:b/>
              </w:rPr>
              <w:t xml:space="preserve">5.  </w:t>
            </w:r>
          </w:p>
        </w:tc>
        <w:tc>
          <w:tcPr>
            <w:tcW w:w="1580" w:type="dxa"/>
            <w:tcBorders/>
            <w:vAlign w:val="center"/>
          </w:tcPr>
          <w:p>
            <w:pPr>
              <w:pStyle w:val="TableContents"/>
              <w:bidi w:val="0"/>
              <w:spacing w:before="0" w:after="0"/>
              <w:jc w:val="left"/>
              <w:rPr>
                <w:b/>
                <w:u w:val="single"/>
              </w:rPr>
            </w:pPr>
            <w:r>
              <w:rPr>
                <w:b/>
                <w:u w:val="single"/>
              </w:rPr>
              <w:t>Administration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pStyle w:val="TextBody"/>
        <w:bidi w:val="0"/>
        <w:spacing w:lineRule="auto" w:line="300" w:before="0" w:after="0"/>
        <w:jc w:val="left"/>
        <w:rPr>
          <w:color w:val="000000"/>
        </w:rPr>
      </w:pPr>
      <w:r>
        <w:rPr>
          <w:color w:val="000000"/>
        </w:rPr>
        <w:t> </w:t>
      </w:r>
    </w:p>
    <w:tbl>
      <w:tblPr>
        <w:tblW w:w="1750" w:type="dxa"/>
        <w:jc w:val="left"/>
        <w:tblInd w:w="0" w:type="dxa"/>
        <w:tblLayout w:type="fixed"/>
        <w:tblCellMar>
          <w:top w:w="0" w:type="dxa"/>
          <w:left w:w="0" w:type="dxa"/>
          <w:bottom w:w="0" w:type="dxa"/>
          <w:right w:w="0" w:type="dxa"/>
        </w:tblCellMar>
      </w:tblPr>
      <w:tblGrid>
        <w:gridCol w:w="275"/>
        <w:gridCol w:w="1475"/>
      </w:tblGrid>
      <w:tr>
        <w:trPr/>
        <w:tc>
          <w:tcPr>
            <w:tcW w:w="275" w:type="dxa"/>
            <w:tcBorders/>
            <w:vAlign w:val="center"/>
          </w:tcPr>
          <w:p>
            <w:pPr>
              <w:pStyle w:val="TableContents"/>
              <w:bidi w:val="0"/>
              <w:spacing w:before="0" w:after="283"/>
              <w:jc w:val="left"/>
              <w:rPr>
                <w:b/>
              </w:rPr>
            </w:pPr>
            <w:r>
              <w:rPr>
                <w:b/>
              </w:rPr>
              <w:t xml:space="preserve">6. </w:t>
            </w:r>
          </w:p>
        </w:tc>
        <w:tc>
          <w:tcPr>
            <w:tcW w:w="1475" w:type="dxa"/>
            <w:tcBorders/>
            <w:vAlign w:val="center"/>
          </w:tcPr>
          <w:p>
            <w:pPr>
              <w:pStyle w:val="TableContents"/>
              <w:bidi w:val="0"/>
              <w:spacing w:before="0" w:after="0"/>
              <w:jc w:val="left"/>
              <w:rPr>
                <w:b/>
                <w:u w:val="single"/>
              </w:rPr>
            </w:pPr>
            <w:r>
              <w:rPr>
                <w:b/>
                <w:u w:val="single"/>
              </w:rPr>
              <w:t>Interpretation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lineRule="auto" w:line="300" w:before="0" w:after="0"/>
        <w:jc w:val="left"/>
        <w:rPr>
          <w:color w:val="000000"/>
        </w:rPr>
      </w:pPr>
      <w:r>
        <w:rPr>
          <w:color w:val="000000"/>
        </w:rPr>
        <w:t> </w:t>
      </w:r>
    </w:p>
    <w:tbl>
      <w:tblPr>
        <w:tblW w:w="3565" w:type="dxa"/>
        <w:jc w:val="left"/>
        <w:tblInd w:w="0" w:type="dxa"/>
        <w:tblLayout w:type="fixed"/>
        <w:tblCellMar>
          <w:top w:w="0" w:type="dxa"/>
          <w:left w:w="0" w:type="dxa"/>
          <w:bottom w:w="0" w:type="dxa"/>
          <w:right w:w="0" w:type="dxa"/>
        </w:tblCellMar>
      </w:tblPr>
      <w:tblGrid>
        <w:gridCol w:w="215"/>
        <w:gridCol w:w="3350"/>
      </w:tblGrid>
      <w:tr>
        <w:trPr/>
        <w:tc>
          <w:tcPr>
            <w:tcW w:w="215" w:type="dxa"/>
            <w:tcBorders/>
            <w:vAlign w:val="center"/>
          </w:tcPr>
          <w:p>
            <w:pPr>
              <w:pStyle w:val="TableContents"/>
              <w:bidi w:val="0"/>
              <w:spacing w:before="0" w:after="283"/>
              <w:jc w:val="left"/>
              <w:rPr>
                <w:b/>
              </w:rPr>
            </w:pPr>
            <w:r>
              <w:rPr>
                <w:b/>
              </w:rPr>
              <w:t>7.</w:t>
            </w:r>
          </w:p>
        </w:tc>
        <w:tc>
          <w:tcPr>
            <w:tcW w:w="3350" w:type="dxa"/>
            <w:tcBorders/>
            <w:vAlign w:val="center"/>
          </w:tcPr>
          <w:p>
            <w:pPr>
              <w:pStyle w:val="TableContents"/>
              <w:bidi w:val="0"/>
              <w:spacing w:before="0" w:after="0"/>
              <w:jc w:val="left"/>
              <w:rPr>
                <w:b/>
                <w:u w:val="single"/>
              </w:rPr>
            </w:pPr>
            <w:r>
              <w:rPr>
                <w:b/>
                <w:u w:val="single"/>
              </w:rPr>
              <w:t>No Indemnification; No Liability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300" w:before="0" w:after="0"/>
        <w:jc w:val="left"/>
        <w:rPr>
          <w:color w:val="000000"/>
        </w:rPr>
      </w:pPr>
      <w:r>
        <w:rPr>
          <w:color w:val="000000"/>
        </w:rPr>
        <w:t> </w:t>
      </w:r>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283"/>
              <w:jc w:val="left"/>
              <w:rPr>
                <w:b/>
              </w:rPr>
            </w:pPr>
            <w:r>
              <w:rPr>
                <w:b/>
              </w:rPr>
              <w:t>8.</w:t>
            </w:r>
          </w:p>
        </w:tc>
        <w:tc>
          <w:tcPr>
            <w:tcW w:w="2795" w:type="dxa"/>
            <w:tcBorders/>
            <w:vAlign w:val="center"/>
          </w:tcPr>
          <w:p>
            <w:pPr>
              <w:pStyle w:val="TableContents"/>
              <w:bidi w:val="0"/>
              <w:spacing w:before="0" w:after="0"/>
              <w:jc w:val="left"/>
              <w:rPr>
                <w:b/>
                <w:u w:val="single"/>
              </w:rPr>
            </w:pPr>
            <w:r>
              <w:rPr>
                <w:b/>
                <w:u w:val="single"/>
              </w:rPr>
              <w:t>Application; Enforceability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Except as otherwise determined by the Committee or the Board, the adoption of this Policy does not limit, and is intended to apply in addition to, any Other Recovery Arrangements. Without limiting the foregoing, in the event of a conflict between this Policy and the Compensation Policy, the latter shall prevail, except with respect to the recovery of any portion of Incentive-Based Compensation that is Erroneously Awarded Compensation that would not be recoverable under the Compensation Policy, in which case this Policy shall prevail.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pStyle w:val="TextBody"/>
        <w:bidi w:val="0"/>
        <w:spacing w:lineRule="auto" w:line="300" w:before="0" w:after="0"/>
        <w:jc w:val="left"/>
        <w:rPr>
          <w:color w:val="000000"/>
        </w:rPr>
      </w:pPr>
      <w:r>
        <w:rPr>
          <w:color w:val="000000"/>
        </w:rPr>
        <w:t> </w:t>
      </w:r>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b/>
              </w:rPr>
            </w:pPr>
            <w:r>
              <w:rPr>
                <w:b/>
              </w:rPr>
              <w:t>9.</w:t>
            </w:r>
          </w:p>
        </w:tc>
        <w:tc>
          <w:tcPr>
            <w:tcW w:w="1235" w:type="dxa"/>
            <w:tcBorders/>
            <w:vAlign w:val="center"/>
          </w:tcPr>
          <w:p>
            <w:pPr>
              <w:pStyle w:val="TableContents"/>
              <w:bidi w:val="0"/>
              <w:spacing w:before="0" w:after="0"/>
              <w:jc w:val="left"/>
              <w:rPr>
                <w:b/>
                <w:u w:val="single"/>
              </w:rPr>
            </w:pPr>
            <w:r>
              <w:rPr>
                <w:b/>
                <w:u w:val="single"/>
              </w:rPr>
              <w:t>Severability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300" w:before="0" w:after="0"/>
        <w:jc w:val="left"/>
        <w:rPr>
          <w:color w:val="000000"/>
        </w:rPr>
      </w:pPr>
      <w:r>
        <w:rPr>
          <w:color w:val="000000"/>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rPr>
            </w:pPr>
            <w:r>
              <w:rPr>
                <w:b/>
              </w:rPr>
              <w:t>10.</w:t>
            </w:r>
          </w:p>
        </w:tc>
        <w:tc>
          <w:tcPr>
            <w:tcW w:w="3080" w:type="dxa"/>
            <w:tcBorders/>
            <w:vAlign w:val="center"/>
          </w:tcPr>
          <w:p>
            <w:pPr>
              <w:pStyle w:val="TableContents"/>
              <w:bidi w:val="0"/>
              <w:spacing w:before="0" w:after="0"/>
              <w:jc w:val="left"/>
              <w:rPr>
                <w:b/>
                <w:u w:val="single"/>
              </w:rPr>
            </w:pPr>
            <w:r>
              <w:rPr>
                <w:b/>
                <w:u w:val="single"/>
              </w:rPr>
              <w:t>Amendment and Termination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in the U.S.</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tbl>
      <w:tblPr>
        <w:tblW w:w="1525" w:type="dxa"/>
        <w:jc w:val="left"/>
        <w:tblInd w:w="0" w:type="dxa"/>
        <w:tblLayout w:type="fixed"/>
        <w:tblCellMar>
          <w:top w:w="0" w:type="dxa"/>
          <w:left w:w="0" w:type="dxa"/>
          <w:bottom w:w="0" w:type="dxa"/>
          <w:right w:w="0" w:type="dxa"/>
        </w:tblCellMar>
      </w:tblPr>
      <w:tblGrid>
        <w:gridCol w:w="395"/>
        <w:gridCol w:w="1130"/>
      </w:tblGrid>
      <w:tr>
        <w:trPr/>
        <w:tc>
          <w:tcPr>
            <w:tcW w:w="395" w:type="dxa"/>
            <w:tcBorders/>
            <w:vAlign w:val="center"/>
          </w:tcPr>
          <w:p>
            <w:pPr>
              <w:pStyle w:val="TableContents"/>
              <w:bidi w:val="0"/>
              <w:spacing w:before="0" w:after="283"/>
              <w:jc w:val="left"/>
              <w:rPr>
                <w:b/>
              </w:rPr>
            </w:pPr>
            <w:r>
              <w:rPr>
                <w:b/>
              </w:rPr>
              <w:t xml:space="preserve">11. </w:t>
            </w:r>
          </w:p>
        </w:tc>
        <w:tc>
          <w:tcPr>
            <w:tcW w:w="113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Applicable Rules</w:t>
      </w:r>
      <w:r>
        <w:rPr>
          <w:rFonts w:ascii="Times New Roman;Times;serif" w:hAnsi="Times New Roman;Times;serif"/>
          <w:color w:val="000000"/>
          <w:sz w:val="20"/>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300" w:before="0" w:after="0"/>
        <w:jc w:val="both"/>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Board</w:t>
      </w:r>
      <w:r>
        <w:rPr>
          <w:rFonts w:ascii="Times New Roman;Times;serif" w:hAnsi="Times New Roman;Times;serif"/>
          <w:color w:val="000000"/>
          <w:sz w:val="20"/>
        </w:rPr>
        <w:t>” means the Board of Directors of the Company.</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Compensation Policy</w:t>
      </w:r>
      <w:r>
        <w:rPr>
          <w:rFonts w:ascii="Times New Roman;Times;serif" w:hAnsi="Times New Roman;Times;serif"/>
          <w:color w:val="000000"/>
          <w:sz w:val="20"/>
        </w:rPr>
        <w:t>” means the Company’s compensation policy for officers and directors, as adopted in accordance with the Israeli Companies Law 5759-1999 and as in effect from time to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Committee</w:t>
      </w:r>
      <w:r>
        <w:rPr>
          <w:rFonts w:ascii="Times New Roman;Times;serif" w:hAnsi="Times New Roman;Times;serif"/>
          <w:color w:val="000000"/>
          <w:sz w:val="20"/>
        </w:rPr>
        <w:t>” means the Compensation Committee of the Board or, in the absence of such a committee, a majority of the independent directors serving on the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Erroneously Awarded Compensation</w:t>
      </w:r>
      <w:r>
        <w:rPr>
          <w:rFonts w:ascii="Times New Roman;Times;serif" w:hAnsi="Times New Roman;Times;serif"/>
          <w:color w:val="000000"/>
          <w:sz w:val="20"/>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means the 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Financial Reporting Measure</w:t>
      </w:r>
      <w:r>
        <w:rPr>
          <w:rFonts w:ascii="Times New Roman;Times;serif" w:hAnsi="Times New Roman;Times;serif"/>
          <w:color w:val="000000"/>
          <w:sz w:val="20"/>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shareholder return.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GAAP</w:t>
      </w:r>
      <w:r>
        <w:rPr>
          <w:rFonts w:ascii="Times New Roman;Times;serif" w:hAnsi="Times New Roman;Times;serif"/>
          <w:color w:val="000000"/>
          <w:sz w:val="20"/>
        </w:rPr>
        <w:t>” means United States generally accepted accounting principles.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IFRS</w:t>
      </w:r>
      <w:r>
        <w:rPr>
          <w:rFonts w:ascii="Times New Roman;Times;serif" w:hAnsi="Times New Roman;Times;serif"/>
          <w:color w:val="000000"/>
          <w:sz w:val="20"/>
        </w:rPr>
        <w:t>” means international financial reporting standards as adopted by the International Accounting Standards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Impracticable</w:t>
      </w:r>
      <w:r>
        <w:rPr>
          <w:rFonts w:ascii="Times New Roman;Times;serif" w:hAnsi="Times New Roman;Times;serif"/>
          <w:color w:val="000000"/>
          <w:sz w:val="20"/>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Incentive-Based Compensation</w:t>
      </w:r>
      <w:r>
        <w:rPr>
          <w:rFonts w:ascii="Times New Roman;Times;serif" w:hAnsi="Times New Roman;Times;serif"/>
          <w:color w:val="000000"/>
          <w:sz w:val="20"/>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Officer</w:t>
      </w:r>
      <w:r>
        <w:rPr>
          <w:rFonts w:ascii="Times New Roman;Times;serif" w:hAnsi="Times New Roman;Times;serif"/>
          <w:color w:val="000000"/>
          <w:sz w:val="20"/>
        </w:rPr>
        <w:t>” means each person who the Company determines serves as a Company officer, as defined in Section 16 of the 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Other Recovery Arrangements</w:t>
      </w:r>
      <w:r>
        <w:rPr>
          <w:rFonts w:ascii="Times New Roman;Times;serif" w:hAnsi="Times New Roman;Times;serif"/>
          <w:color w:val="000000"/>
          <w:sz w:val="20"/>
        </w:rPr>
        <w:t>” means any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Restatement</w:t>
      </w:r>
      <w:r>
        <w:rPr>
          <w:rFonts w:ascii="Times New Roman;Times;serif" w:hAnsi="Times New Roman;Times;serif"/>
          <w:color w:val="000000"/>
          <w:sz w:val="20"/>
        </w:rPr>
        <w:t>” means an accounting restatement to correct the Company’s material noncompliance with any financial reporting requirement under applicable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Times New Roman;Times;serif" w:hAnsi="Times New Roman;Times;serif"/>
          <w:i/>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Three-Year Period</w:t>
      </w:r>
      <w:r>
        <w:rPr>
          <w:rFonts w:ascii="Times New Roman;Times;serif" w:hAnsi="Times New Roman;Times;serif"/>
          <w:color w:val="000000"/>
          <w:sz w:val="20"/>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Adopted: November 5, 2023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762301/000117891322000725/exhibit_4-1.htm" TargetMode="External"/><Relationship Id="rId13" Type="http://schemas.openxmlformats.org/officeDocument/2006/relationships/hyperlink" Target="https://www.sec.gov/Archives/edgar/data/1762301/000117891322000725/exhibit_4-1.htm" TargetMode="External"/><Relationship Id="rId14" Type="http://schemas.openxmlformats.org/officeDocument/2006/relationships/hyperlink" Target="https://www.sec.gov/Archives/edgar/data/1762301/000117891322000725/exhibit_4-1.htm" TargetMode="External"/><Relationship Id="rId15" Type="http://schemas.openxmlformats.org/officeDocument/2006/relationships/hyperlink" Target="https://www.sec.gov/Archives/edgar/data/1762301/000117891323003406/exhibit_99-2.htm" TargetMode="External"/><Relationship Id="rId16" Type="http://schemas.openxmlformats.org/officeDocument/2006/relationships/hyperlink" Target="https://www.sec.gov/Archives/edgar/data/1762301/000117891323003406/exhibit_99-2.htm" TargetMode="External"/><Relationship Id="rId17" Type="http://schemas.openxmlformats.org/officeDocument/2006/relationships/hyperlink" Target="https://www.sec.gov/Archives/edgar/data/1762301/000117891323003406/exhibit_99-2.htm" TargetMode="External"/><Relationship Id="rId18" Type="http://schemas.openxmlformats.org/officeDocument/2006/relationships/hyperlink" Target="https://www.sec.gov/Archives/edgar/data/1762301/000104746919003139/a2238508zex-10_3.htm" TargetMode="External"/><Relationship Id="rId19" Type="http://schemas.openxmlformats.org/officeDocument/2006/relationships/hyperlink" Target="https://www.sec.gov/Archives/edgar/data/1762301/000104746919003139/a2238508zex-10_3.htm" TargetMode="External"/><Relationship Id="rId20" Type="http://schemas.openxmlformats.org/officeDocument/2006/relationships/hyperlink" Target="https://www.sec.gov/Archives/edgar/data/1762301/000104746919003139/a2238508zex-10_3.htm" TargetMode="External"/><Relationship Id="rId21" Type="http://schemas.openxmlformats.org/officeDocument/2006/relationships/hyperlink" Target="https://www.sec.gov/Archives/edgar/data/1762301/000104746919003139/a2238508zex-10_4.htm" TargetMode="External"/><Relationship Id="rId22" Type="http://schemas.openxmlformats.org/officeDocument/2006/relationships/hyperlink" Target="https://www.sec.gov/Archives/edgar/data/1762301/000104746919003139/a2238508zex-10_4.htm" TargetMode="External"/><Relationship Id="rId23" Type="http://schemas.openxmlformats.org/officeDocument/2006/relationships/hyperlink" Target="https://www.sec.gov/Archives/edgar/data/1762301/000104746919003139/a2238508zex-10_4.htm" TargetMode="External"/><Relationship Id="rId24" Type="http://schemas.openxmlformats.org/officeDocument/2006/relationships/hyperlink" Target="https://www.sec.gov/Archives/edgar/data/1762301/000104746919003139/a2238508zex-10_5.htm" TargetMode="External"/><Relationship Id="rId25" Type="http://schemas.openxmlformats.org/officeDocument/2006/relationships/hyperlink" Target="https://www.sec.gov/Archives/edgar/data/1762301/000104746919003139/a2238508zex-10_5.htm" TargetMode="External"/><Relationship Id="rId26" Type="http://schemas.openxmlformats.org/officeDocument/2006/relationships/hyperlink" Target="https://www.sec.gov/Archives/edgar/data/1762301/000104746919003139/a2238508zex-10_5.htm" TargetMode="External"/><Relationship Id="rId27" Type="http://schemas.openxmlformats.org/officeDocument/2006/relationships/hyperlink" Target="https://www.sec.gov/Archives/edgar/data/1762301/000104746919003139/a2238508zex-10_6.htm" TargetMode="External"/><Relationship Id="rId28" Type="http://schemas.openxmlformats.org/officeDocument/2006/relationships/hyperlink" Target="https://www.sec.gov/Archives/edgar/data/1762301/000104746919003139/a2238508zex-10_6.htm" TargetMode="External"/><Relationship Id="rId29" Type="http://schemas.openxmlformats.org/officeDocument/2006/relationships/hyperlink" Target="https://www.sec.gov/Archives/edgar/data/1762301/000104746919003139/a2238508zex-10_6.htm" TargetMode="External"/><Relationship Id="rId30" Type="http://schemas.openxmlformats.org/officeDocument/2006/relationships/hyperlink" Target="https://www.sec.gov/Archives/edgar/data/1762301/000104746919003139/a2238508zex-10_7.htm" TargetMode="External"/><Relationship Id="rId31" Type="http://schemas.openxmlformats.org/officeDocument/2006/relationships/hyperlink" Target="https://www.sec.gov/Archives/edgar/data/1762301/000104746919003139/a2238508zex-10_7.htm" TargetMode="External"/><Relationship Id="rId32" Type="http://schemas.openxmlformats.org/officeDocument/2006/relationships/hyperlink" Target="https://www.sec.gov/Archives/edgar/data/1762301/000104746919003139/a2238508zex-10_7.htm" TargetMode="External"/><Relationship Id="rId33" Type="http://schemas.openxmlformats.org/officeDocument/2006/relationships/hyperlink" Target="https://www.sec.gov/Archives/edgar/data/1762301/000104746919003413/a2238869zex-10_8.htm" TargetMode="External"/><Relationship Id="rId34" Type="http://schemas.openxmlformats.org/officeDocument/2006/relationships/hyperlink" Target="https://www.sec.gov/Archives/edgar/data/1762301/000104746919003413/a2238869zex-10_8.htm" TargetMode="External"/><Relationship Id="rId35" Type="http://schemas.openxmlformats.org/officeDocument/2006/relationships/hyperlink" Target="https://www.sec.gov/Archives/edgar/data/1762301/000104746919003413/a2238869zex-10_8.htm" TargetMode="External"/><Relationship Id="rId36" Type="http://schemas.openxmlformats.org/officeDocument/2006/relationships/hyperlink" Target="https://www.sec.gov/Archives/edgar/data/1762301/000117891320002551/exhibit_99-1.htm" TargetMode="External"/><Relationship Id="rId37" Type="http://schemas.openxmlformats.org/officeDocument/2006/relationships/hyperlink" Target="https://www.sec.gov/Archives/edgar/data/1762301/000117891320002551/exhibit_99-1.htm" TargetMode="External"/><Relationship Id="rId38" Type="http://schemas.openxmlformats.org/officeDocument/2006/relationships/hyperlink" Target="https://www.sec.gov/Archives/edgar/data/1762301/000117891320002551/exhibit_99-1.htm" TargetMode="External"/><Relationship Id="rId39" Type="http://schemas.openxmlformats.org/officeDocument/2006/relationships/hyperlink" Target="https://www.sec.gov/Archives/edgar/data/1762301/000119312520268474/d17973dex41.htm" TargetMode="External"/><Relationship Id="rId40" Type="http://schemas.openxmlformats.org/officeDocument/2006/relationships/hyperlink" Target="https://www.sec.gov/Archives/edgar/data/1762301/000119312520268474/d17973dex41.htm" TargetMode="External"/><Relationship Id="rId41" Type="http://schemas.openxmlformats.org/officeDocument/2006/relationships/hyperlink" Target="https://www.sec.gov/Archives/edgar/data/1762301/000119312520268474/d17973dex41.htm" TargetMode="External"/><Relationship Id="rId42" Type="http://schemas.openxmlformats.org/officeDocument/2006/relationships/hyperlink" Target="https://www.sec.gov/Archives/edgar/data/1762301/000119312520268474/d17973dex101.htm" TargetMode="External"/><Relationship Id="rId43" Type="http://schemas.openxmlformats.org/officeDocument/2006/relationships/hyperlink" Target="https://www.sec.gov/Archives/edgar/data/1762301/000119312520268474/d17973dex101.htm" TargetMode="External"/><Relationship Id="rId44" Type="http://schemas.openxmlformats.org/officeDocument/2006/relationships/hyperlink" Target="https://www.sec.gov/Archives/edgar/data/1762301/000119312520268474/d17973dex101.htm" TargetMode="External"/><Relationship Id="rId45" Type="http://schemas.openxmlformats.org/officeDocument/2006/relationships/hyperlink" Target="https://www.sec.gov/Archives/edgar/data/1762301/000119312520268474/d17973dex102.htm" TargetMode="External"/><Relationship Id="rId46" Type="http://schemas.openxmlformats.org/officeDocument/2006/relationships/hyperlink" Target="https://www.sec.gov/Archives/edgar/data/1762301/000119312520268474/d17973dex102.htm" TargetMode="External"/><Relationship Id="rId47" Type="http://schemas.openxmlformats.org/officeDocument/2006/relationships/hyperlink" Target="https://www.sec.gov/Archives/edgar/data/1762301/000119312520268474/d17973dex102.htm" TargetMode="External"/><Relationship Id="rId48" Type="http://schemas.openxmlformats.org/officeDocument/2006/relationships/hyperlink" Target="https://www.sec.gov/Archives/edgar/data/1762301/000119312520268474/d17973dex103.htm" TargetMode="External"/><Relationship Id="rId49" Type="http://schemas.openxmlformats.org/officeDocument/2006/relationships/hyperlink" Target="https://www.sec.gov/Archives/edgar/data/1762301/000119312520268474/d17973dex103.htm" TargetMode="External"/><Relationship Id="rId50" Type="http://schemas.openxmlformats.org/officeDocument/2006/relationships/hyperlink" Target="https://www.sec.gov/Archives/edgar/data/1762301/000119312520268474/d17973dex103.htm" TargetMode="External"/><Relationship Id="rId51" Type="http://schemas.openxmlformats.org/officeDocument/2006/relationships/hyperlink" Target="https://www.sec.gov/Archives/edgar/data/1762301/000119312520268474/d17973dex104.htm" TargetMode="External"/><Relationship Id="rId52" Type="http://schemas.openxmlformats.org/officeDocument/2006/relationships/hyperlink" Target="https://www.sec.gov/Archives/edgar/data/1762301/000119312520268474/d17973dex104.htm" TargetMode="External"/><Relationship Id="rId53" Type="http://schemas.openxmlformats.org/officeDocument/2006/relationships/hyperlink" Target="https://www.sec.gov/Archives/edgar/data/1762301/000119312520268474/d17973dex104.htm" TargetMode="External"/><Relationship Id="rId54" Type="http://schemas.openxmlformats.org/officeDocument/2006/relationships/hyperlink" Target="https://www.sec.gov/Archives/edgar/data/1762301/000119312520268474/d17973dex105.htm" TargetMode="External"/><Relationship Id="rId55" Type="http://schemas.openxmlformats.org/officeDocument/2006/relationships/hyperlink" Target="https://www.sec.gov/Archives/edgar/data/1762301/000119312520268474/d17973dex105.htm" TargetMode="External"/><Relationship Id="rId56" Type="http://schemas.openxmlformats.org/officeDocument/2006/relationships/hyperlink" Target="https://www.sec.gov/Archives/edgar/data/1762301/000119312520268474/d17973dex105.htm" TargetMode="External"/><Relationship Id="rId57" Type="http://schemas.openxmlformats.org/officeDocument/2006/relationships/hyperlink" Target="https://www.sec.gov/Archives/edgar/data/1762301/000119312520268474/d17973dex106.htm" TargetMode="External"/><Relationship Id="rId58" Type="http://schemas.openxmlformats.org/officeDocument/2006/relationships/hyperlink" Target="https://www.sec.gov/Archives/edgar/data/1762301/000119312520268474/d17973dex106.htm" TargetMode="External"/><Relationship Id="rId59" Type="http://schemas.openxmlformats.org/officeDocument/2006/relationships/hyperlink" Target="https://www.sec.gov/Archives/edgar/data/1762301/000119312520268474/d17973dex106.htm" TargetMode="External"/><Relationship Id="rId60" Type="http://schemas.openxmlformats.org/officeDocument/2006/relationships/hyperlink" Target="https://www.sec.gov/Archives/edgar/data/1762301/000119312520268474/d17973dex107.htm" TargetMode="External"/><Relationship Id="rId61" Type="http://schemas.openxmlformats.org/officeDocument/2006/relationships/hyperlink" Target="https://www.sec.gov/Archives/edgar/data/1762301/000119312520268474/d17973dex107.htm" TargetMode="External"/><Relationship Id="rId62" Type="http://schemas.openxmlformats.org/officeDocument/2006/relationships/hyperlink" Target="https://www.sec.gov/Archives/edgar/data/1762301/000119312520268474/d17973dex107.htm" TargetMode="External"/><Relationship Id="rId63" Type="http://schemas.openxmlformats.org/officeDocument/2006/relationships/hyperlink" Target="https://www.sec.gov/Archives/edgar/data/1762301/000119312520268474/d17973dex108.htm" TargetMode="External"/><Relationship Id="rId64" Type="http://schemas.openxmlformats.org/officeDocument/2006/relationships/hyperlink" Target="https://www.sec.gov/Archives/edgar/data/1762301/000119312520268474/d17973dex108.htm" TargetMode="External"/><Relationship Id="rId65" Type="http://schemas.openxmlformats.org/officeDocument/2006/relationships/hyperlink" Target="https://www.sec.gov/Archives/edgar/data/1762301/000119312520268474/d17973dex108.htm" TargetMode="External"/><Relationship Id="rId66" Type="http://schemas.openxmlformats.org/officeDocument/2006/relationships/hyperlink" Target="https://www.sec.gov/Archives/edgar/data/1762301/000119312520268474/d17973dex109.htm" TargetMode="External"/><Relationship Id="rId67" Type="http://schemas.openxmlformats.org/officeDocument/2006/relationships/hyperlink" Target="https://www.sec.gov/Archives/edgar/data/1762301/000119312520268474/d17973dex109.htm" TargetMode="External"/><Relationship Id="rId68" Type="http://schemas.openxmlformats.org/officeDocument/2006/relationships/hyperlink" Target="https://www.sec.gov/Archives/edgar/data/1762301/000119312520268474/d17973dex109.htm" TargetMode="External"/><Relationship Id="rId69" Type="http://schemas.openxmlformats.org/officeDocument/2006/relationships/hyperlink" Target="https://www.sec.gov/Archives/edgar/data/1762301/000119312520268474/d17973dex1010.htm" TargetMode="External"/><Relationship Id="rId70" Type="http://schemas.openxmlformats.org/officeDocument/2006/relationships/hyperlink" Target="https://www.sec.gov/Archives/edgar/data/1762301/000119312520268474/d17973dex1010.htm" TargetMode="External"/><Relationship Id="rId71" Type="http://schemas.openxmlformats.org/officeDocument/2006/relationships/hyperlink" Target="https://www.sec.gov/Archives/edgar/data/1762301/000119312520268474/d17973dex1010.htm" TargetMode="External"/><Relationship Id="rId72" Type="http://schemas.openxmlformats.org/officeDocument/2006/relationships/hyperlink" Target="https://www.sec.gov/Archives/edgar/data/1762301/000117891323003406/exhibit_99-1.htm" TargetMode="External"/><Relationship Id="rId73" Type="http://schemas.openxmlformats.org/officeDocument/2006/relationships/hyperlink" Target="https://www.sec.gov/Archives/edgar/data/1762301/000117891323003406/exhibit_99-1.htm" TargetMode="External"/><Relationship Id="rId74" Type="http://schemas.openxmlformats.org/officeDocument/2006/relationships/hyperlink" Target="https://www.sec.gov/Archives/edgar/data/1762301/000117891322000725/exhibit_4-1.htm" TargetMode="External"/><Relationship Id="rId75" Type="http://schemas.openxmlformats.org/officeDocument/2006/relationships/hyperlink" Target="https://www.sec.gov/Archives/edgar/data/1762301/000117891322000725/exhibit_4-1.htm" TargetMode="External"/><Relationship Id="rId76" Type="http://schemas.openxmlformats.org/officeDocument/2006/relationships/hyperlink" Target="https://www.sec.gov/Archives/edgar/data/1762301/000117891323003406/exhibit_99-2.htm" TargetMode="External"/><Relationship Id="rId77" Type="http://schemas.openxmlformats.org/officeDocument/2006/relationships/hyperlink" Target="https://www.sec.gov/Archives/edgar/data/1762301/000117891323003406/exhibit_99-2.htm" TargetMode="External"/><Relationship Id="rId78" Type="http://schemas.openxmlformats.org/officeDocument/2006/relationships/hyperlink" Target="https://www.sec.gov/Archives/edgar/data/1762301/000104746919003139/a2238508zex-10_3.htm" TargetMode="External"/><Relationship Id="rId79" Type="http://schemas.openxmlformats.org/officeDocument/2006/relationships/hyperlink" Target="https://www.sec.gov/Archives/edgar/data/1762301/000104746919003139/a2238508zex-10_3.htm" TargetMode="External"/><Relationship Id="rId80" Type="http://schemas.openxmlformats.org/officeDocument/2006/relationships/hyperlink" Target="https://www.sec.gov/Archives/edgar/data/1762301/000104746919003139/a2238508zex-10_4.htm" TargetMode="External"/><Relationship Id="rId81" Type="http://schemas.openxmlformats.org/officeDocument/2006/relationships/hyperlink" Target="https://www.sec.gov/Archives/edgar/data/1762301/000104746919003139/a2238508zex-10_4.htm" TargetMode="External"/><Relationship Id="rId82" Type="http://schemas.openxmlformats.org/officeDocument/2006/relationships/hyperlink" Target="https://www.sec.gov/Archives/edgar/data/1762301/000104746919003139/a2238508zex-10_5.htm" TargetMode="External"/><Relationship Id="rId83" Type="http://schemas.openxmlformats.org/officeDocument/2006/relationships/hyperlink" Target="https://www.sec.gov/Archives/edgar/data/1762301/000104746919003139/a2238508zex-10_5.htm" TargetMode="External"/><Relationship Id="rId84" Type="http://schemas.openxmlformats.org/officeDocument/2006/relationships/hyperlink" Target="https://www.sec.gov/Archives/edgar/data/1762301/000104746919003139/a2238508zex-10_6.htm" TargetMode="External"/><Relationship Id="rId85" Type="http://schemas.openxmlformats.org/officeDocument/2006/relationships/hyperlink" Target="https://www.sec.gov/Archives/edgar/data/1762301/000104746919003139/a2238508zex-10_6.htm" TargetMode="External"/><Relationship Id="rId86" Type="http://schemas.openxmlformats.org/officeDocument/2006/relationships/hyperlink" Target="https://www.sec.gov/Archives/edgar/data/1762301/000104746919003139/a2238508zex-10_7.htm" TargetMode="External"/><Relationship Id="rId87" Type="http://schemas.openxmlformats.org/officeDocument/2006/relationships/hyperlink" Target="https://www.sec.gov/Archives/edgar/data/1762301/000104746919003139/a2238508zex-10_7.htm" TargetMode="External"/><Relationship Id="rId88" Type="http://schemas.openxmlformats.org/officeDocument/2006/relationships/hyperlink" Target="https://www.sec.gov/Archives/edgar/data/1762301/000104746919003413/a2238869zex-10_8.htm" TargetMode="External"/><Relationship Id="rId89" Type="http://schemas.openxmlformats.org/officeDocument/2006/relationships/hyperlink" Target="https://www.sec.gov/Archives/edgar/data/1762301/000104746919003413/a2238869zex-10_8.htm" TargetMode="External"/><Relationship Id="rId90" Type="http://schemas.openxmlformats.org/officeDocument/2006/relationships/hyperlink" Target="https://www.sec.gov/Archives/edgar/data/1762301/000117891320002551/exhibit_99-1.htm" TargetMode="External"/><Relationship Id="rId91" Type="http://schemas.openxmlformats.org/officeDocument/2006/relationships/hyperlink" Target="https://www.sec.gov/Archives/edgar/data/1762301/000117891320002551/exhibit_99-1.htm" TargetMode="External"/><Relationship Id="rId92" Type="http://schemas.openxmlformats.org/officeDocument/2006/relationships/hyperlink" Target="https://www.sec.gov/Archives/edgar/data/1762301/000117891321000690/exhibit_4-10.htm" TargetMode="External"/><Relationship Id="rId93" Type="http://schemas.openxmlformats.org/officeDocument/2006/relationships/hyperlink" Target="https://www.sec.gov/Archives/edgar/data/1762301/000117891321000690/exhibit_4-10.htm" TargetMode="External"/><Relationship Id="rId94" Type="http://schemas.openxmlformats.org/officeDocument/2006/relationships/hyperlink" Target="https://www.sec.gov/Archives/edgar/data/1762301/000119312520268474/d17973dex41.htm" TargetMode="External"/><Relationship Id="rId95" Type="http://schemas.openxmlformats.org/officeDocument/2006/relationships/hyperlink" Target="https://www.sec.gov/Archives/edgar/data/1762301/000119312520268474/d17973dex41.htm" TargetMode="External"/><Relationship Id="rId96" Type="http://schemas.openxmlformats.org/officeDocument/2006/relationships/hyperlink" Target="https://www.sec.gov/Archives/edgar/data/1762301/000119312520268474/d17973dex41.htm" TargetMode="External"/><Relationship Id="rId97" Type="http://schemas.openxmlformats.org/officeDocument/2006/relationships/hyperlink" Target="https://www.sec.gov/Archives/edgar/data/1762301/000119312520268474/d17973dex41.htm" TargetMode="External"/><Relationship Id="rId98" Type="http://schemas.openxmlformats.org/officeDocument/2006/relationships/hyperlink" Target="https://www.sec.gov/Archives/edgar/data/1762301/000119312520268474/d17973dex101.htm" TargetMode="External"/><Relationship Id="rId99" Type="http://schemas.openxmlformats.org/officeDocument/2006/relationships/hyperlink" Target="https://www.sec.gov/Archives/edgar/data/1762301/000119312520268474/d17973dex101.htm" TargetMode="External"/><Relationship Id="rId100" Type="http://schemas.openxmlformats.org/officeDocument/2006/relationships/hyperlink" Target="https://www.sec.gov/Archives/edgar/data/1762301/000119312520268474/d17973dex102.htm" TargetMode="External"/><Relationship Id="rId101" Type="http://schemas.openxmlformats.org/officeDocument/2006/relationships/hyperlink" Target="https://www.sec.gov/Archives/edgar/data/1762301/000119312520268474/d17973dex102.htm" TargetMode="External"/><Relationship Id="rId102" Type="http://schemas.openxmlformats.org/officeDocument/2006/relationships/hyperlink" Target="https://www.sec.gov/Archives/edgar/data/1762301/000119312520268474/d17973dex103.htm" TargetMode="External"/><Relationship Id="rId103" Type="http://schemas.openxmlformats.org/officeDocument/2006/relationships/hyperlink" Target="https://www.sec.gov/Archives/edgar/data/1762301/000119312520268474/d17973dex103.htm" TargetMode="External"/><Relationship Id="rId104" Type="http://schemas.openxmlformats.org/officeDocument/2006/relationships/hyperlink" Target="https://www.sec.gov/Archives/edgar/data/1762301/000119312520268474/d17973dex104.htm" TargetMode="External"/><Relationship Id="rId105" Type="http://schemas.openxmlformats.org/officeDocument/2006/relationships/hyperlink" Target="https://www.sec.gov/Archives/edgar/data/1762301/000119312520268474/d17973dex104.htm" TargetMode="External"/><Relationship Id="rId106" Type="http://schemas.openxmlformats.org/officeDocument/2006/relationships/hyperlink" Target="https://www.sec.gov/Archives/edgar/data/1762301/000119312520268474/d17973dex105.htm" TargetMode="External"/><Relationship Id="rId107" Type="http://schemas.openxmlformats.org/officeDocument/2006/relationships/hyperlink" Target="https://www.sec.gov/Archives/edgar/data/1762301/000119312520268474/d17973dex105.htm" TargetMode="External"/><Relationship Id="rId108" Type="http://schemas.openxmlformats.org/officeDocument/2006/relationships/hyperlink" Target="https://www.sec.gov/Archives/edgar/data/1762301/000119312520268474/d17973dex106.htm" TargetMode="External"/><Relationship Id="rId109" Type="http://schemas.openxmlformats.org/officeDocument/2006/relationships/hyperlink" Target="https://www.sec.gov/Archives/edgar/data/1762301/000119312520268474/d17973dex106.htm" TargetMode="External"/><Relationship Id="rId110" Type="http://schemas.openxmlformats.org/officeDocument/2006/relationships/hyperlink" Target="https://www.sec.gov/Archives/edgar/data/1762301/000119312520268474/d17973dex107.htm" TargetMode="External"/><Relationship Id="rId111" Type="http://schemas.openxmlformats.org/officeDocument/2006/relationships/hyperlink" Target="https://www.sec.gov/Archives/edgar/data/1762301/000119312520268474/d17973dex107.htm" TargetMode="External"/><Relationship Id="rId112" Type="http://schemas.openxmlformats.org/officeDocument/2006/relationships/hyperlink" Target="https://www.sec.gov/Archives/edgar/data/1762301/000119312520268474/d17973dex108.htm" TargetMode="External"/><Relationship Id="rId113" Type="http://schemas.openxmlformats.org/officeDocument/2006/relationships/hyperlink" Target="https://www.sec.gov/Archives/edgar/data/1762301/000119312520268474/d17973dex108.htm" TargetMode="External"/><Relationship Id="rId114" Type="http://schemas.openxmlformats.org/officeDocument/2006/relationships/hyperlink" Target="https://www.sec.gov/Archives/edgar/data/1762301/000119312520268474/d17973dex109.htm" TargetMode="External"/><Relationship Id="rId115" Type="http://schemas.openxmlformats.org/officeDocument/2006/relationships/hyperlink" Target="https://www.sec.gov/Archives/edgar/data/1762301/000119312520268474/d17973dex109.htm" TargetMode="External"/><Relationship Id="rId116" Type="http://schemas.openxmlformats.org/officeDocument/2006/relationships/hyperlink" Target="https://www.sec.gov/Archives/edgar/data/1762301/000119312520268474/d17973dex1010.htm" TargetMode="External"/><Relationship Id="rId117" Type="http://schemas.openxmlformats.org/officeDocument/2006/relationships/hyperlink" Target="https://www.sec.gov/Archives/edgar/data/1762301/000119312520268474/d17973dex1010.htm" TargetMode="External"/><Relationship Id="rId118" Type="http://schemas.openxmlformats.org/officeDocument/2006/relationships/fontTable" Target="fontTable.xml"/><Relationship Id="rId1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92962</Words>
  <Characters>502926</Characters>
  <CharactersWithSpaces>597069</CharactersWithSpaces>
  <Paragraphs>10293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