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Filed with the Securities and Exchange Commission on March 2, 2021</w:t>
      </w:r>
    </w:p>
    <w:p>
      <w:pPr>
        <w:spacing w:after="0" w:line="33" w:lineRule="exact"/>
        <w:rPr>
          <w:sz w:val="24"/>
          <w:szCs w:val="24"/>
          <w:color w:val="auto"/>
        </w:rPr>
      </w:pPr>
    </w:p>
    <w:p>
      <w:pPr>
        <w:ind w:left="8420"/>
        <w:spacing w:after="0"/>
        <w:rPr>
          <w:sz w:val="20"/>
          <w:szCs w:val="20"/>
          <w:color w:val="auto"/>
        </w:rPr>
      </w:pPr>
      <w:r>
        <w:rPr>
          <w:rFonts w:ascii="Times New Roman" w:cs="Times New Roman" w:eastAsia="Times New Roman" w:hAnsi="Times New Roman"/>
          <w:sz w:val="22"/>
          <w:szCs w:val="2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Fiverr International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347" w:lineRule="exact"/>
        <w:rPr>
          <w:sz w:val="24"/>
          <w:szCs w:val="24"/>
          <w:color w:val="auto"/>
        </w:rPr>
      </w:pPr>
    </w:p>
    <w:tbl>
      <w:tblPr>
        <w:tblLayout w:type="fixed"/>
        <w:tblInd w:w="1620" w:type="dxa"/>
        <w:tblCellMar>
          <w:top w:w="0" w:type="dxa"/>
          <w:left w:w="0" w:type="dxa"/>
          <w:bottom w:w="0" w:type="dxa"/>
          <w:right w:w="0" w:type="dxa"/>
        </w:tblCellMar>
      </w:tblPr>
      <w:tr>
        <w:trPr>
          <w:trHeight w:val="216"/>
        </w:trPr>
        <w:tc>
          <w:tcPr>
            <w:tcW w:w="41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State of Israel</w:t>
            </w:r>
          </w:p>
        </w:tc>
        <w:tc>
          <w:tcPr>
            <w:tcW w:w="36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216"/>
        </w:trPr>
        <w:tc>
          <w:tcPr>
            <w:tcW w:w="41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6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6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Fiverr International Ltd.</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8 Eliezer Kaplan St</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Tel Aviv 6473409</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Israel</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+972-72-2280910</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 T Corporation System</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28 Liberty Street</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New York, New York 10005</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(212) 894-8940</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1760" w:type="dxa"/>
        <w:tblCellMar>
          <w:top w:w="0" w:type="dxa"/>
          <w:left w:w="0" w:type="dxa"/>
          <w:bottom w:w="0" w:type="dxa"/>
          <w:right w:w="0" w:type="dxa"/>
        </w:tblCellMar>
      </w:tblPr>
      <w:tr>
        <w:trPr>
          <w:trHeight w:val="288"/>
        </w:trPr>
        <w:tc>
          <w:tcPr>
            <w:tcW w:w="2760" w:type="dxa"/>
            <w:vAlign w:val="bottom"/>
          </w:tcPr>
          <w:p>
            <w:pPr>
              <w:spacing w:after="0"/>
              <w:rPr>
                <w:sz w:val="24"/>
                <w:szCs w:val="24"/>
                <w:color w:val="auto"/>
              </w:rPr>
            </w:pPr>
          </w:p>
        </w:tc>
        <w:tc>
          <w:tcPr>
            <w:tcW w:w="4960" w:type="dxa"/>
            <w:vAlign w:val="bottom"/>
          </w:tcPr>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Copies to:</w:t>
            </w:r>
          </w:p>
        </w:tc>
      </w:tr>
      <w:tr>
        <w:trPr>
          <w:trHeight w:val="236"/>
        </w:trPr>
        <w:tc>
          <w:tcPr>
            <w:tcW w:w="276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Marc D. Jaffe</w:t>
            </w:r>
          </w:p>
        </w:tc>
        <w:tc>
          <w:tcPr>
            <w:tcW w:w="4960" w:type="dxa"/>
            <w:vAlign w:val="bottom"/>
          </w:tcPr>
          <w:p>
            <w:pPr>
              <w:jc w:val="center"/>
              <w:ind w:left="2768"/>
              <w:spacing w:after="0"/>
              <w:rPr>
                <w:sz w:val="20"/>
                <w:szCs w:val="20"/>
                <w:color w:val="auto"/>
              </w:rPr>
            </w:pPr>
            <w:r>
              <w:rPr>
                <w:rFonts w:ascii="Times New Roman" w:cs="Times New Roman" w:eastAsia="Times New Roman" w:hAnsi="Times New Roman"/>
                <w:sz w:val="18"/>
                <w:szCs w:val="18"/>
                <w:b w:val="1"/>
                <w:bCs w:val="1"/>
                <w:color w:val="auto"/>
                <w:w w:val="99"/>
              </w:rPr>
              <w:t>Itay Frishman</w:t>
            </w:r>
          </w:p>
        </w:tc>
      </w:tr>
      <w:tr>
        <w:trPr>
          <w:trHeight w:val="216"/>
        </w:trPr>
        <w:tc>
          <w:tcPr>
            <w:tcW w:w="27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Ian D. Schuman</w:t>
            </w:r>
          </w:p>
        </w:tc>
        <w:tc>
          <w:tcPr>
            <w:tcW w:w="4960" w:type="dxa"/>
            <w:vAlign w:val="bottom"/>
          </w:tcPr>
          <w:p>
            <w:pPr>
              <w:jc w:val="center"/>
              <w:ind w:left="2768"/>
              <w:spacing w:after="0"/>
              <w:rPr>
                <w:sz w:val="20"/>
                <w:szCs w:val="20"/>
                <w:color w:val="auto"/>
              </w:rPr>
            </w:pPr>
            <w:r>
              <w:rPr>
                <w:rFonts w:ascii="Times New Roman" w:cs="Times New Roman" w:eastAsia="Times New Roman" w:hAnsi="Times New Roman"/>
                <w:sz w:val="18"/>
                <w:szCs w:val="18"/>
                <w:b w:val="1"/>
                <w:bCs w:val="1"/>
                <w:color w:val="auto"/>
                <w:w w:val="99"/>
              </w:rPr>
              <w:t>Shachar Hadar</w:t>
            </w:r>
          </w:p>
        </w:tc>
      </w:tr>
      <w:tr>
        <w:trPr>
          <w:trHeight w:val="216"/>
        </w:trPr>
        <w:tc>
          <w:tcPr>
            <w:tcW w:w="276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Joshua G. Kiernan</w:t>
            </w:r>
          </w:p>
        </w:tc>
        <w:tc>
          <w:tcPr>
            <w:tcW w:w="4960" w:type="dxa"/>
            <w:vAlign w:val="bottom"/>
          </w:tcPr>
          <w:p>
            <w:pPr>
              <w:jc w:val="center"/>
              <w:ind w:left="2768"/>
              <w:spacing w:after="0"/>
              <w:rPr>
                <w:sz w:val="20"/>
                <w:szCs w:val="20"/>
                <w:color w:val="auto"/>
              </w:rPr>
            </w:pPr>
            <w:r>
              <w:rPr>
                <w:rFonts w:ascii="Times New Roman" w:cs="Times New Roman" w:eastAsia="Times New Roman" w:hAnsi="Times New Roman"/>
                <w:sz w:val="18"/>
                <w:szCs w:val="18"/>
                <w:b w:val="1"/>
                <w:bCs w:val="1"/>
                <w:color w:val="auto"/>
              </w:rPr>
              <w:t>Miri Shalit</w:t>
            </w:r>
          </w:p>
        </w:tc>
      </w:tr>
      <w:tr>
        <w:trPr>
          <w:trHeight w:val="216"/>
        </w:trPr>
        <w:tc>
          <w:tcPr>
            <w:tcW w:w="27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Adam J. Gelardi</w:t>
            </w:r>
          </w:p>
        </w:tc>
        <w:tc>
          <w:tcPr>
            <w:tcW w:w="4960" w:type="dxa"/>
            <w:vAlign w:val="bottom"/>
          </w:tcPr>
          <w:p>
            <w:pPr>
              <w:jc w:val="center"/>
              <w:ind w:left="2768"/>
              <w:spacing w:after="0"/>
              <w:rPr>
                <w:sz w:val="20"/>
                <w:szCs w:val="20"/>
                <w:color w:val="auto"/>
              </w:rPr>
            </w:pPr>
            <w:r>
              <w:rPr>
                <w:rFonts w:ascii="Times New Roman" w:cs="Times New Roman" w:eastAsia="Times New Roman" w:hAnsi="Times New Roman"/>
                <w:sz w:val="18"/>
                <w:szCs w:val="18"/>
                <w:b w:val="1"/>
                <w:bCs w:val="1"/>
                <w:color w:val="auto"/>
                <w:w w:val="99"/>
              </w:rPr>
              <w:t>Elad Ziv</w:t>
            </w:r>
          </w:p>
        </w:tc>
      </w:tr>
      <w:tr>
        <w:trPr>
          <w:trHeight w:val="216"/>
        </w:trPr>
        <w:tc>
          <w:tcPr>
            <w:tcW w:w="27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4960" w:type="dxa"/>
            <w:vAlign w:val="bottom"/>
          </w:tcPr>
          <w:p>
            <w:pPr>
              <w:jc w:val="center"/>
              <w:ind w:left="2768"/>
              <w:spacing w:after="0"/>
              <w:rPr>
                <w:sz w:val="20"/>
                <w:szCs w:val="20"/>
                <w:color w:val="auto"/>
              </w:rPr>
            </w:pPr>
            <w:r>
              <w:rPr>
                <w:rFonts w:ascii="Times New Roman" w:cs="Times New Roman" w:eastAsia="Times New Roman" w:hAnsi="Times New Roman"/>
                <w:sz w:val="18"/>
                <w:szCs w:val="18"/>
                <w:b w:val="1"/>
                <w:bCs w:val="1"/>
                <w:color w:val="auto"/>
                <w:w w:val="99"/>
              </w:rPr>
              <w:t>Meitar | Law Offices</w:t>
            </w:r>
          </w:p>
        </w:tc>
      </w:tr>
      <w:tr>
        <w:trPr>
          <w:trHeight w:val="216"/>
        </w:trPr>
        <w:tc>
          <w:tcPr>
            <w:tcW w:w="276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885 Third Avenue</w:t>
            </w:r>
          </w:p>
        </w:tc>
        <w:tc>
          <w:tcPr>
            <w:tcW w:w="4960" w:type="dxa"/>
            <w:vAlign w:val="bottom"/>
          </w:tcPr>
          <w:p>
            <w:pPr>
              <w:jc w:val="center"/>
              <w:ind w:left="2768"/>
              <w:spacing w:after="0"/>
              <w:rPr>
                <w:sz w:val="20"/>
                <w:szCs w:val="20"/>
                <w:color w:val="auto"/>
              </w:rPr>
            </w:pPr>
            <w:r>
              <w:rPr>
                <w:rFonts w:ascii="Times New Roman" w:cs="Times New Roman" w:eastAsia="Times New Roman" w:hAnsi="Times New Roman"/>
                <w:sz w:val="18"/>
                <w:szCs w:val="18"/>
                <w:b w:val="1"/>
                <w:bCs w:val="1"/>
                <w:color w:val="auto"/>
              </w:rPr>
              <w:t>16 Abba Hillel Silver Rd.</w:t>
            </w:r>
          </w:p>
        </w:tc>
      </w:tr>
      <w:tr>
        <w:trPr>
          <w:trHeight w:val="216"/>
        </w:trPr>
        <w:tc>
          <w:tcPr>
            <w:tcW w:w="27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New York, New York 10022</w:t>
            </w:r>
          </w:p>
        </w:tc>
        <w:tc>
          <w:tcPr>
            <w:tcW w:w="4960" w:type="dxa"/>
            <w:vAlign w:val="bottom"/>
          </w:tcPr>
          <w:p>
            <w:pPr>
              <w:jc w:val="center"/>
              <w:ind w:left="2768"/>
              <w:spacing w:after="0"/>
              <w:rPr>
                <w:sz w:val="20"/>
                <w:szCs w:val="20"/>
                <w:color w:val="auto"/>
              </w:rPr>
            </w:pPr>
            <w:r>
              <w:rPr>
                <w:rFonts w:ascii="Times New Roman" w:cs="Times New Roman" w:eastAsia="Times New Roman" w:hAnsi="Times New Roman"/>
                <w:sz w:val="18"/>
                <w:szCs w:val="18"/>
                <w:b w:val="1"/>
                <w:bCs w:val="1"/>
                <w:color w:val="auto"/>
                <w:w w:val="99"/>
              </w:rPr>
              <w:t>Ramat Gab 5250608, Israel</w:t>
            </w:r>
          </w:p>
        </w:tc>
      </w:tr>
      <w:tr>
        <w:trPr>
          <w:trHeight w:val="238"/>
        </w:trPr>
        <w:tc>
          <w:tcPr>
            <w:tcW w:w="27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(212) 906-1200</w:t>
            </w:r>
          </w:p>
        </w:tc>
        <w:tc>
          <w:tcPr>
            <w:tcW w:w="4960" w:type="dxa"/>
            <w:vAlign w:val="bottom"/>
          </w:tcPr>
          <w:p>
            <w:pPr>
              <w:jc w:val="center"/>
              <w:ind w:left="2768"/>
              <w:spacing w:after="0"/>
              <w:rPr>
                <w:sz w:val="20"/>
                <w:szCs w:val="20"/>
                <w:color w:val="auto"/>
              </w:rPr>
            </w:pPr>
            <w:r>
              <w:rPr>
                <w:rFonts w:ascii="Times New Roman" w:cs="Times New Roman" w:eastAsia="Times New Roman" w:hAnsi="Times New Roman"/>
                <w:sz w:val="18"/>
                <w:szCs w:val="18"/>
                <w:b w:val="1"/>
                <w:bCs w:val="1"/>
                <w:color w:val="auto"/>
                <w:w w:val="98"/>
              </w:rPr>
              <w:t>+972-3-610-3766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right="840"/>
        <w:spacing w:after="0" w:line="287" w:lineRule="auto"/>
        <w:rPr>
          <w:sz w:val="20"/>
          <w:szCs w:val="20"/>
          <w:color w:val="auto"/>
        </w:rPr>
      </w:pPr>
      <w:r>
        <w:rPr>
          <w:rFonts w:ascii="Times New Roman" w:cs="Times New Roman" w:eastAsia="Times New Roman" w:hAnsi="Times New Roman"/>
          <w:sz w:val="22"/>
          <w:szCs w:val="22"/>
          <w:b w:val="1"/>
          <w:bCs w:val="1"/>
          <w:color w:val="auto"/>
        </w:rPr>
        <w:t>Approximate date of commencement of proposed sale to the public</w:t>
      </w:r>
      <w:r>
        <w:rPr>
          <w:rFonts w:ascii="Times New Roman" w:cs="Times New Roman" w:eastAsia="Times New Roman" w:hAnsi="Times New Roman"/>
          <w:sz w:val="22"/>
          <w:szCs w:val="22"/>
          <w:color w:val="auto"/>
        </w:rPr>
        <w:t>: From time to time after the effectiveness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w:t>
      </w:r>
    </w:p>
    <w:p>
      <w:pPr>
        <w:spacing w:after="0" w:line="209" w:lineRule="exact"/>
        <w:rPr>
          <w:sz w:val="24"/>
          <w:szCs w:val="24"/>
          <w:color w:val="auto"/>
        </w:rPr>
      </w:pPr>
    </w:p>
    <w:p>
      <w:pPr>
        <w:spacing w:after="0" w:line="287" w:lineRule="exact"/>
        <w:rPr>
          <w:sz w:val="20"/>
          <w:szCs w:val="20"/>
          <w:color w:val="auto"/>
        </w:rPr>
      </w:pPr>
      <w:r>
        <w:rPr>
          <w:rFonts w:ascii="Times New Roman" w:cs="Times New Roman" w:eastAsia="Times New Roman" w:hAnsi="Times New Roman"/>
          <w:sz w:val="22"/>
          <w:szCs w:val="22"/>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22"/>
          <w:szCs w:val="22"/>
          <w:color w:val="auto"/>
        </w:rPr>
        <w:t>☐</w:t>
      </w:r>
    </w:p>
    <w:p>
      <w:pPr>
        <w:sectPr>
          <w:pgSz w:w="11900" w:h="16838" w:orient="portrait"/>
          <w:cols w:equalWidth="0" w:num="1">
            <w:col w:w="11220"/>
          </w:cols>
          <w:pgMar w:left="320" w:top="810" w:right="359" w:bottom="184" w:gutter="0" w:footer="0" w:header="0"/>
        </w:sectPr>
      </w:pPr>
    </w:p>
    <w:bookmarkStart w:id="1" w:name="page2"/>
    <w:bookmarkEnd w:id="1"/>
    <w:p>
      <w:pPr>
        <w:ind w:right="440"/>
        <w:spacing w:after="0" w:line="287" w:lineRule="exact"/>
        <w:rPr>
          <w:sz w:val="20"/>
          <w:szCs w:val="20"/>
          <w:color w:val="auto"/>
        </w:rPr>
      </w:pPr>
      <w:r>
        <w:rPr>
          <w:rFonts w:ascii="Times New Roman" w:cs="Times New Roman" w:eastAsia="Times New Roman" w:hAnsi="Times New Roman"/>
          <w:sz w:val="22"/>
          <w:szCs w:val="2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22"/>
          <w:szCs w:val="22"/>
          <w:color w:val="auto"/>
        </w:rPr>
        <w:t>☒</w:t>
      </w:r>
    </w:p>
    <w:p>
      <w:pPr>
        <w:spacing w:after="0" w:line="237" w:lineRule="exact"/>
        <w:rPr>
          <w:sz w:val="20"/>
          <w:szCs w:val="20"/>
          <w:color w:val="auto"/>
        </w:rPr>
      </w:pPr>
    </w:p>
    <w:p>
      <w:pPr>
        <w:ind w:right="20"/>
        <w:spacing w:after="0" w:line="282" w:lineRule="exact"/>
        <w:rPr>
          <w:sz w:val="20"/>
          <w:szCs w:val="20"/>
          <w:color w:val="auto"/>
        </w:rPr>
      </w:pPr>
      <w:r>
        <w:rPr>
          <w:rFonts w:ascii="Times New Roman" w:cs="Times New Roman" w:eastAsia="Times New Roman" w:hAnsi="Times New Roman"/>
          <w:sz w:val="22"/>
          <w:szCs w:val="2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2"/>
          <w:szCs w:val="22"/>
          <w:color w:val="auto"/>
        </w:rPr>
        <w:t>☐</w:t>
      </w:r>
    </w:p>
    <w:p>
      <w:pPr>
        <w:spacing w:after="0" w:line="236" w:lineRule="exact"/>
        <w:rPr>
          <w:sz w:val="20"/>
          <w:szCs w:val="20"/>
          <w:color w:val="auto"/>
        </w:rPr>
      </w:pPr>
    </w:p>
    <w:p>
      <w:pPr>
        <w:ind w:right="240"/>
        <w:spacing w:after="0" w:line="287" w:lineRule="exact"/>
        <w:rPr>
          <w:sz w:val="20"/>
          <w:szCs w:val="20"/>
          <w:color w:val="auto"/>
        </w:rPr>
      </w:pPr>
      <w:r>
        <w:rPr>
          <w:rFonts w:ascii="Times New Roman" w:cs="Times New Roman" w:eastAsia="Times New Roman" w:hAnsi="Times New Roman"/>
          <w:sz w:val="21"/>
          <w:szCs w:val="2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21"/>
          <w:szCs w:val="21"/>
          <w:color w:val="auto"/>
        </w:rPr>
        <w:t>☐</w:t>
      </w:r>
    </w:p>
    <w:p>
      <w:pPr>
        <w:spacing w:after="0" w:line="236" w:lineRule="exact"/>
        <w:rPr>
          <w:sz w:val="20"/>
          <w:szCs w:val="20"/>
          <w:color w:val="auto"/>
        </w:rPr>
      </w:pPr>
    </w:p>
    <w:p>
      <w:pPr>
        <w:spacing w:after="0" w:line="287" w:lineRule="exact"/>
        <w:rPr>
          <w:sz w:val="20"/>
          <w:szCs w:val="20"/>
          <w:color w:val="auto"/>
        </w:rPr>
      </w:pPr>
      <w:r>
        <w:rPr>
          <w:rFonts w:ascii="Times New Roman" w:cs="Times New Roman" w:eastAsia="Times New Roman" w:hAnsi="Times New Roman"/>
          <w:sz w:val="21"/>
          <w:szCs w:val="21"/>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21"/>
          <w:szCs w:val="21"/>
          <w:color w:val="auto"/>
        </w:rPr>
        <w:t>☒</w:t>
      </w:r>
    </w:p>
    <w:p>
      <w:pPr>
        <w:spacing w:after="0" w:line="236" w:lineRule="exact"/>
        <w:rPr>
          <w:sz w:val="20"/>
          <w:szCs w:val="20"/>
          <w:color w:val="auto"/>
        </w:rPr>
      </w:pPr>
    </w:p>
    <w:p>
      <w:pPr>
        <w:ind w:right="260"/>
        <w:spacing w:after="0" w:line="282" w:lineRule="exact"/>
        <w:rPr>
          <w:sz w:val="20"/>
          <w:szCs w:val="20"/>
          <w:color w:val="auto"/>
        </w:rPr>
      </w:pPr>
      <w:r>
        <w:rPr>
          <w:rFonts w:ascii="Times New Roman" w:cs="Times New Roman" w:eastAsia="Times New Roman" w:hAnsi="Times New Roman"/>
          <w:sz w:val="22"/>
          <w:szCs w:val="22"/>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22"/>
          <w:szCs w:val="22"/>
          <w:color w:val="auto"/>
        </w:rPr>
        <w:t>☐</w:t>
      </w:r>
    </w:p>
    <w:p>
      <w:pPr>
        <w:spacing w:after="0" w:line="236"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w:t>
      </w:r>
    </w:p>
    <w:p>
      <w:pPr>
        <w:spacing w:after="0" w:line="177"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321" w:lineRule="exact"/>
        <w:rPr>
          <w:sz w:val="20"/>
          <w:szCs w:val="20"/>
          <w:color w:val="auto"/>
        </w:rPr>
      </w:pPr>
    </w:p>
    <w:p>
      <w:pPr>
        <w:ind w:right="160"/>
        <w:spacing w:after="0" w:line="282" w:lineRule="exact"/>
        <w:rPr>
          <w:sz w:val="20"/>
          <w:szCs w:val="20"/>
          <w:color w:val="auto"/>
        </w:rPr>
      </w:pPr>
      <w:r>
        <w:rPr>
          <w:rFonts w:ascii="Times New Roman" w:cs="Times New Roman" w:eastAsia="Times New Roman" w:hAnsi="Times New Roman"/>
          <w:sz w:val="22"/>
          <w:szCs w:val="2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2"/>
          <w:szCs w:val="22"/>
          <w:color w:val="auto"/>
        </w:rPr>
        <w:t>☐</w:t>
      </w:r>
    </w:p>
    <w:p>
      <w:pPr>
        <w:spacing w:after="0" w:line="236" w:lineRule="exact"/>
        <w:rPr>
          <w:sz w:val="20"/>
          <w:szCs w:val="20"/>
          <w:color w:val="auto"/>
        </w:rPr>
      </w:pPr>
    </w:p>
    <w:p>
      <w:pPr>
        <w:ind w:right="340" w:firstLine="8"/>
        <w:spacing w:after="0" w:line="284"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18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to be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registered/proposed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maximum offering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unit/proposed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81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Title of each class of securities</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registration</w:t>
            </w:r>
          </w:p>
        </w:tc>
      </w:tr>
      <w:tr>
        <w:trPr>
          <w:trHeight w:val="245"/>
        </w:trPr>
        <w:tc>
          <w:tcPr>
            <w:tcW w:w="818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8"/>
                <w:szCs w:val="18"/>
                <w:b w:val="1"/>
                <w:bCs w:val="1"/>
                <w:color w:val="auto"/>
              </w:rPr>
              <w:t>to be registered</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fee</w:t>
            </w:r>
          </w:p>
        </w:tc>
        <w:tc>
          <w:tcPr>
            <w:tcW w:w="100" w:type="dxa"/>
            <w:vAlign w:val="bottom"/>
          </w:tcPr>
          <w:p>
            <w:pPr>
              <w:spacing w:after="0"/>
              <w:rPr>
                <w:sz w:val="21"/>
                <w:szCs w:val="21"/>
                <w:color w:val="auto"/>
              </w:rPr>
            </w:pPr>
          </w:p>
        </w:tc>
      </w:tr>
      <w:tr>
        <w:trPr>
          <w:trHeight w:val="216"/>
        </w:trPr>
        <w:tc>
          <w:tcPr>
            <w:tcW w:w="818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1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Warrants(4)</w:t>
            </w:r>
          </w:p>
        </w:tc>
        <w:tc>
          <w:tcPr>
            <w:tcW w:w="1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Purchase Contracts</w:t>
            </w: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(5)</w:t>
            </w:r>
          </w:p>
        </w:tc>
        <w:tc>
          <w:tcPr>
            <w:tcW w:w="1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bl>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General Instruction II.F. of Form F-3 under the Securities Act of 1933, as amended, or the Securities Act.</w:t>
      </w:r>
    </w:p>
    <w:p>
      <w:pPr>
        <w:spacing w:after="0" w:line="27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unspecified number of securities or aggregate principal amount, as applicable, is being registered as may from time to time be offered at unspecified prices and, in addition, an unspecified number of additional shares of ordinary shares is being registered as may be issued from time to time upon conversion of any Debt Securities that are convertible into ordinary shares or pursuant to any anti-dilution adjustments with respect to any such convertible Debt Securities.</w:t>
      </w:r>
    </w:p>
    <w:p>
      <w:pPr>
        <w:spacing w:after="0" w:line="233" w:lineRule="exact"/>
        <w:rPr>
          <w:rFonts w:ascii="Times New Roman" w:cs="Times New Roman" w:eastAsia="Times New Roman" w:hAnsi="Times New Roman"/>
          <w:sz w:val="18"/>
          <w:szCs w:val="18"/>
          <w:color w:val="auto"/>
        </w:rPr>
      </w:pPr>
    </w:p>
    <w:p>
      <w:pPr>
        <w:ind w:left="640" w:right="640" w:hanging="308"/>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the Registrant is deferring payment of all of the registration fee. Any registration fees will be paid subsequently on a pay-as-you-go basis in accordance with Rule 457(r).</w:t>
      </w:r>
    </w:p>
    <w:p>
      <w:pPr>
        <w:spacing w:after="0" w:line="21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 exercised to purchase any of the other securities registered hereby.</w:t>
      </w:r>
    </w:p>
    <w:p>
      <w:pPr>
        <w:spacing w:after="0" w:line="27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offered securities may be sold separately or together as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365125</wp:posOffset>
            </wp:positionV>
            <wp:extent cx="171450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Fiverr International Ltd.</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Purchase Contracts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7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22"/>
          <w:szCs w:val="22"/>
          <w:color w:val="auto"/>
        </w:rPr>
        <w:t>We may offer and sell from time to time, in one or more offerings, ordinary shares; warrants; debt securities; purchase contracts; units or any combination thereof as described in this prospectus. The warrants may be convertible into or exercisable or exchangeable for ordinary shares or debt securities, and the debt securities may be convertible into or exchangeable for ordinary shares or other debt securities.</w:t>
      </w:r>
    </w:p>
    <w:p>
      <w:pPr>
        <w:spacing w:after="0" w:line="2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2"/>
          <w:szCs w:val="22"/>
          <w:color w:val="auto"/>
        </w:rPr>
        <w:t>Each time we offer and sell securities, we will provide a supplement to this prospectus that contains specific information about the offering, as well as the amounts, prices and terms of the securities. You should carefully read this prospectus, any prospectus supplement and any free writing prospectus, as well as any documents incorporated in any of the foregoing by reference, before you invest in our securities. This prospectus may not be used to sell our securities unless accompanied by a prospectus supplement. A prospectus supplement or any related free writing prospectus may also add to, update, supplement or clarify information contained in this prospectus.</w:t>
      </w:r>
    </w:p>
    <w:p>
      <w:pPr>
        <w:spacing w:after="0" w:line="2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2"/>
          <w:szCs w:val="22"/>
          <w:color w:val="auto"/>
        </w:rPr>
        <w:t>We may offer and sell our securities to or through one or more agents, underwriters, dealers, remarketing firms or other third parties or directly to one or more purchasers or through a combination of any of these methods, in each case on a continuous or delayed basis. If any third parties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 more complete description of the plan of distribution of these securities, see the section of this prospectus entitled “Plan of Distribution.”</w:t>
      </w:r>
    </w:p>
    <w:p>
      <w:pPr>
        <w:spacing w:after="0" w:line="23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22"/>
          <w:szCs w:val="22"/>
          <w:color w:val="auto"/>
        </w:rPr>
        <w:t>Our ordinary shares are listed on the New York Stock Exchange under the symbol “FVRR.” On March 1, 2021, the last reported sale price of our ordinary shares on the New York Stock Exchange was $289.74.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21"/>
          <w:szCs w:val="21"/>
          <w:b w:val="1"/>
          <w:bCs w:val="1"/>
          <w:color w:val="auto"/>
        </w:rPr>
        <w:t>Investing in our securities involves substantial risk. Please read “Risk Factors” beginning on page 2 of this prospectus and any risk factors described in any applicable prospectus supplement and in the documents we incorporate by reference.</w:t>
      </w:r>
    </w:p>
    <w:p>
      <w:pPr>
        <w:spacing w:after="0" w:line="180"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22"/>
          <w:szCs w:val="22"/>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dated March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2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501"/>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ABOUT THIS PROSPECTUS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OUR COMPANY</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RISK FACTORS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CAUTIONARY NOTE REGARDING FORWARD-LOOKING STATEMENTS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USE OF PROCEEDS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DESCRIPTION OF SHARE CAPITAL AND ARTICLES OF ASSOCIATION</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DESCRIPTION OF DEBT SECURITIES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DESCRIPTION OF OTHER SECURITIES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DESCRIPTION OF GLOBAL SECURITIES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PLAN OF DISTRIBUTION</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ENFORCEABILITY OF CIVIL LIABILITIES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LEGAL MATTERS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EXPERTS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WHERE YOU CAN FIND MORE INFORMATION</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INCORPORATION OF CERTAIN INFORMATION BY REFERENCE</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828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EXPENSES</w:t>
              </w:r>
            </w:hyperlink>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92"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ABOUT THIS PROSPECTUS</w:t>
      </w:r>
    </w:p>
    <w:p>
      <w:pPr>
        <w:spacing w:after="0" w:line="29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22"/>
          <w:szCs w:val="22"/>
          <w:color w:val="auto"/>
        </w:rPr>
        <w:t>Except where the context otherwise requires or where otherwise indicated, the terms “Fiverr,” the “Company,” “we,” “us,” “our company” and “our business” refer to Fiverr International Ltd., together with its consolidated subsidiaries as a consolidated entity.</w:t>
      </w:r>
    </w:p>
    <w:p>
      <w:pPr>
        <w:spacing w:after="0" w:line="2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This prospectus is part of a registration statement that we filed with the U.S. Securities and Exchange Commission (the “SEC”) as a “well-known seasoned issuer” as defined in Rule 405 under the Securities Act, as amended, using a “shelf” registration process. By using a shelf registration statement, we may sell securities from time to time and in one or more offerings to be named in a supplement to this prospectus may sell ordinary shares from time to time in one or more offerings, in each case,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Certain Information by Reference.”</w:t>
      </w:r>
    </w:p>
    <w:p>
      <w:pPr>
        <w:spacing w:after="0" w:line="2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and/or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4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22"/>
          <w:szCs w:val="22"/>
          <w:color w:val="auto"/>
        </w:rPr>
        <w:t>This prospectus and the information incorporated herein by reference include trademarks, service marks and trade names owned by us or other companies. All trademarks, service marks and trade names included or incorporated by reference into this prospectus are the property of their respective owners.</w:t>
      </w:r>
    </w:p>
    <w:p>
      <w:pPr>
        <w:spacing w:after="0" w:line="22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22"/>
          <w:szCs w:val="22"/>
          <w:color w:val="auto"/>
        </w:rPr>
        <w:t>Information contained on, or that can be accessed through, our website does not constitute part of this prospectus, any applicable prospectus supplement or any related free writing prospectus.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OUR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Overview</w:t>
      </w:r>
    </w:p>
    <w:p>
      <w:pPr>
        <w:spacing w:after="0" w:line="2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Our mission is to change how the world works together. We started with the simple idea that people should be able to buy and sell digital services in the same fashion as physical goods on an e-commerce platform. On that basis, we set out to design a digital marketplace that is built with a comprehensive SKU-like services catalog and an efficient search, find and order process that mirrors a typical e-commerce transaction.</w:t>
      </w:r>
    </w:p>
    <w:p>
      <w:pPr>
        <w:spacing w:after="0" w:line="2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We believe our model reduces friction and uncertainties for both buyers and sellers. At the foundation of our core platform, Fiverr.com, lies an expansive catalog with over 500 categories of productized service listings, which we coined as Gigs. Each Gig has a clearly defined scope, duration and price, along with buyer-generated reviews. Using either our search or navigation tools, buyers can easily find and purchase productized services, such as logo design, video creation and editing, website development and blog writing, with prices ranging from $5 to thousands of dollars. We call this the Service-as-a-Product model. Our approach fundamentally transforms the traditional freelancer staffing model into an e-commerce-like experience.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Information</w:t>
      </w:r>
    </w:p>
    <w:p>
      <w:pPr>
        <w:spacing w:after="0" w:line="29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2"/>
          <w:szCs w:val="22"/>
          <w:color w:val="auto"/>
        </w:rPr>
        <w:t>We were incorporated in Israel under the Israeli Companies Law, 5759 1999, and our principal executive office is located at 8 Eliezer Kaplan St., Tel Aviv 6473409, Israel. We are registered with the Israeli Registrar of Companies. Our registration number is 51-444087-4. Our website address is www.fiverr.com, and our telephone number is +972-72-2280910. The information contained on, or that can be accessed through, our website is not a part of, and shall not be incorporated by reference into, this prospectus. We have included our website address as an inactive textual reference only.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9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Investing in any securities offered pursuant to this prospectus and the applicable prospectus supplement involves risks. You should carefully consider the risk factors set forth in our most recent Annual Report on Form 20-F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Securities Exchange Act of 1934, as amended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9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2"/>
          <w:szCs w:val="22"/>
          <w:color w:val="auto"/>
        </w:rPr>
        <w:t>This prospectus and the documents incorporated by reference into this prospectus contain estimates and forward looking statements within the meaning of Section 27A of the Securities Act. All statements other than statements of historical facts contained in this prospectus, including statements regarding our future results of operations and financial position, business strategy and plans and our objectives for future operations, are forward looking statements.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24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22"/>
          <w:szCs w:val="22"/>
          <w:color w:val="auto"/>
        </w:rPr>
        <w:t>In some cases, these forward-looking statements can be identified by words or phrases such as “may,” “might,” “will,” “could,” “would,” “should,” “expect,” “plan,” “anticipate,” “intend,” “seek,” “believe,” “estimate,” “predict,” “potential,” “continue,” “contemplate,” “possible” or similar words.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Estimates and forward-looking statements contained in this prospectus include, but are not limited to, statements about:</w:t>
      </w:r>
    </w:p>
    <w:p>
      <w:pPr>
        <w:spacing w:after="0" w:line="2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and</w:t>
      </w:r>
    </w:p>
    <w:p>
      <w:pPr>
        <w:spacing w:after="0" w:line="279"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and plans and objectives of management for future operations, including, among others, expansion in new and existing markets.</w:t>
      </w:r>
    </w:p>
    <w:p>
      <w:pPr>
        <w:spacing w:after="0" w:line="22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1"/>
          <w:szCs w:val="21"/>
          <w:color w:val="auto"/>
        </w:rPr>
        <w:t>Our estimates and forward-looking statements are mainly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 including without limitation those discussed under the heading “Risk Factors.” Actual outcomes may differ materially from the information contained in the estimates or forward-looking statements as a result of a number of factors, including the following:</w:t>
      </w:r>
    </w:p>
    <w:p>
      <w:pPr>
        <w:spacing w:after="0" w:line="217"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COVID-19, could severely affect our business, results of operations and financial condition due to impacts on our buyer and seller base and consumer spending more broadly, as well as impacts from remote work arrangements, actions taken to contain the disease or treat its impact and the speed and extent of the recovery.</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attract and retain a large community of buyers and freelancers, and the loss of our buyers and freelancers, or failure to attract new buyers and freelancers, in particular in light of COVID-19 and its impact on consumer spending and behavior patterns, could materially and adversely affect our business.</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operating losses in the past, expect to incur operating losses in the future and may never achieve or maintain profitability.</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enhance our brand, our business, results of operations and prospects may be materially and adversely affected.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freelancers and the services they offer is not sustained or develops more slowly than we expect, our growth may slow or stall.</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user engagement on our website declines for any reason, our growth may slow or stall.</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improve the quality of our platform, we may not be able to attract and retain buyers and freelancers.</w:t>
      </w:r>
    </w:p>
    <w:p>
      <w:pPr>
        <w:spacing w:after="0" w:line="2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which may cause us to suffer from a weakened market position that could materially and adversely affect our results of operations.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9" w:name="page10"/>
    <w:bookmarkEnd w:id="9"/>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suffer if we do not successfully manage our current and potential future growth.</w:t>
      </w:r>
    </w:p>
    <w:p>
      <w:pPr>
        <w:spacing w:after="0" w:line="2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user growth and engagement on mobile devices depend upon effective operation with mobile operating systems, networks and standards that we do not control.</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 party partners may experience a security breach, including unauthorized parties obtaining access to our users’ personal or other data, or any other data privacy or data protection compliance issue.</w:t>
      </w:r>
    </w:p>
    <w:p>
      <w:pPr>
        <w:spacing w:after="0" w:line="21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relating to consumer data privacy or data protection, or any actual or perceived failure by us to comply with such laws and regulations or our privacy policies, could materially and adversely affect our business.</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under our current platform and pricing model, which makes it difficult to evaluate our business and prospects and increases the risks associated with your investment, and any future changes to our pricing model could materially and adversely affect our business.</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or disruptions in our platform could diminish our brand, subject us to liability, and materially and adversely affect our business, prospects, financial condition and results of operations.</w:t>
      </w:r>
    </w:p>
    <w:p>
      <w:pPr>
        <w:spacing w:after="0" w:line="21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contains open source software components, and failure to comply with the terms of the underlying licenses could restrict our ability to market or operate our platform.</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and expand our scale of operations and generate a sufficient amount of revenue to offset the associated fixed and variable costs, our results of operations may be materially and adversely affected.</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from quarter to quarter, which makes our future results difficult to predict.</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laws and regulations, both in the United States and internationally, many of which are evolving.</w:t>
      </w:r>
    </w:p>
    <w:p>
      <w:pPr>
        <w:spacing w:after="0" w:line="279"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talented employees, including our Chief Executive Officer, to grow, operate and improve our business, and if we are unable to retain and motivate our personnel and attract new talent, we may not be able to grow effectively.</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our intellectual property rights, our business, prospects, financial condition and results of operations could be materially and adversely affected.</w:t>
      </w:r>
    </w:p>
    <w:p>
      <w:pPr>
        <w:spacing w:after="0" w:line="22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2"/>
          <w:szCs w:val="22"/>
          <w:color w:val="auto"/>
        </w:rPr>
        <w:t>Many important factors, in addition to the factors described above and in other sections of this prospectus, could adversely impact our business and financial performance.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spacing w:after="0" w:line="23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21"/>
          <w:szCs w:val="21"/>
          <w:color w:val="auto"/>
        </w:rPr>
        <w:t>The estimates and forward-looking statements made in this prospectus relate only to events or information as of the date on which the statements are made in this prospectus. Except as required by law, we undertake no obligation to update or revise publicly any estimate or forward-looking statements, whether as a result of new information, future events or otherwise, after the date on which the statements are made or to reflect the occurrence of unanticipated events. You should read this prospectus and the documents that we have filed as exhibits to the registration statement, of which this prospectus is a part, completely and with the understanding that our actual future results or performance may be materially different from what we expect.</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0" w:name="page11"/>
    <w:bookmarkEnd w:id="10"/>
    <w:p>
      <w:pPr>
        <w:ind w:left="4620"/>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intend to use the net proceeds from the sale of the securities as set forth in the applicable prospectus supplement(s).</w:t>
      </w:r>
    </w:p>
    <w:p>
      <w:pPr>
        <w:spacing w:after="0" w:line="200" w:lineRule="exact"/>
        <w:rPr>
          <w:sz w:val="20"/>
          <w:szCs w:val="20"/>
          <w:color w:val="auto"/>
        </w:rPr>
      </w:pPr>
    </w:p>
    <w:p>
      <w:pPr>
        <w:spacing w:after="0" w:line="2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392" w:right="127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DESCRIPTION OF SHARE CAPITAL AND ARTICLES OF ASSOCIATION</w:t>
      </w:r>
    </w:p>
    <w:p>
      <w:pPr>
        <w:spacing w:after="0" w:line="29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1"/>
          <w:szCs w:val="21"/>
          <w:color w:val="auto"/>
        </w:rPr>
        <w:t>The following is a description of the material terms of our amended and restated articles of association. The following description may not contain all of the information that is important to you, and we therefore refer you to our amended and restated articles of association, a copy of which is filed with the SEC as an exhibit to the registration statement of which this prospectus is a part.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 capital</w:t>
      </w:r>
    </w:p>
    <w:p>
      <w:pPr>
        <w:spacing w:after="0" w:line="291" w:lineRule="exact"/>
        <w:rPr>
          <w:sz w:val="20"/>
          <w:szCs w:val="20"/>
          <w:color w:val="auto"/>
        </w:rPr>
      </w:pPr>
    </w:p>
    <w:p>
      <w:pPr>
        <w:jc w:val="both"/>
        <w:ind w:right="320"/>
        <w:spacing w:after="0" w:line="284" w:lineRule="auto"/>
        <w:rPr>
          <w:sz w:val="20"/>
          <w:szCs w:val="20"/>
          <w:color w:val="auto"/>
        </w:rPr>
      </w:pPr>
      <w:r>
        <w:rPr>
          <w:rFonts w:ascii="Times New Roman" w:cs="Times New Roman" w:eastAsia="Times New Roman" w:hAnsi="Times New Roman"/>
          <w:sz w:val="22"/>
          <w:szCs w:val="22"/>
          <w:color w:val="auto"/>
        </w:rPr>
        <w:t>Our authorized share capital consists of 75,000,000 ordinary shares, no par value, of which 35,842,980 shares were issued and outstanding as of December 31, 2020.</w:t>
      </w:r>
    </w:p>
    <w:p>
      <w:pPr>
        <w:spacing w:after="0" w:line="211"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22"/>
          <w:szCs w:val="22"/>
          <w:color w:val="auto"/>
        </w:rPr>
        <w:t>All of our outstanding ordinary shares are validly issued, fully paid and non-assessable. Our ordinary shares are not redeemable and do not have any preemptive rights.</w:t>
      </w:r>
    </w:p>
    <w:p>
      <w:pPr>
        <w:spacing w:after="0" w:line="211"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22"/>
          <w:szCs w:val="22"/>
          <w:color w:val="auto"/>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spacing w:after="0" w:line="22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22"/>
          <w:szCs w:val="22"/>
          <w:color w:val="auto"/>
        </w:rPr>
        <w:t>The following descriptions of share capital and provisions of our amended and restated articles of association are summaries and are qualified by reference to our amended and restated articles of association. A copy of our amended and restated articles of association is filed with the SEC as an exhibit to our registration statement, of which this prospectus forms a part.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number and purposes of the company</w:t>
      </w:r>
    </w:p>
    <w:p>
      <w:pPr>
        <w:spacing w:after="0" w:line="29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22"/>
          <w:szCs w:val="22"/>
          <w:color w:val="auto"/>
        </w:rPr>
        <w:t>We are registered with the Israeli Registrar of Companies. Our registration number is 51-444087-4. Our purpose as set forth in our amended and restated articles of association is to engage in any lawful act or activity.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ordinary shares will have identical voting and other rights in all respects.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of shares</w:t>
      </w:r>
    </w:p>
    <w:p>
      <w:pPr>
        <w:spacing w:after="0" w:line="29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2"/>
          <w:szCs w:val="22"/>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ordinary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29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Under our amended and restated articles of association, our board of directors must consist of not less than three but no more than ten directors. Pursuant to our amended and restated articles of association, each of our directors will be appointed by a simple majority vote of holders of our ordinary shares, participating and voting at an annual general meeting of our shareholders, provided that in the event of a contested election directors will be elected by a plurality of the votes cast. 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or upon the occurrence of certain events, in accordance with the Companies Law and our amended and restated articles of association. In addition, our amended and restated articles of association allow our board of directors to fill vacancies on the board of directors or to appoint new directors up to the maximum number of directors permitted under our amended and restated articles of association. Any director so appointed serves for a term of office equal to the remaining period of the term of office of the director whose office has been vacated (or in the case of any new director, for a term of office according to the class to which such director was assigned upon appointment).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883"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Dividend and liquidation rights</w:t>
      </w:r>
    </w:p>
    <w:p>
      <w:pPr>
        <w:spacing w:after="0" w:line="29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2"/>
          <w:szCs w:val="22"/>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23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2"/>
          <w:szCs w:val="22"/>
          <w:color w:val="auto"/>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24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22"/>
          <w:szCs w:val="22"/>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controls</w:t>
      </w:r>
    </w:p>
    <w:p>
      <w:pPr>
        <w:spacing w:after="0" w:line="29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22"/>
          <w:szCs w:val="22"/>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or have been, in a state of war with Israel.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Shareholder meetings</w:t>
      </w:r>
    </w:p>
    <w:p>
      <w:pPr>
        <w:spacing w:after="0" w:line="29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21"/>
          <w:szCs w:val="21"/>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or more of our directors or one-quarter or more of the serving members of our board of directors or (ii) one or more shareholders holding, in the aggregate, either (a) 5% or more of our outstanding issued shares and 1% or more of our outstanding voting power or (b) 5% or more of our outstanding voting power.</w:t>
      </w:r>
    </w:p>
    <w:p>
      <w:pPr>
        <w:spacing w:after="0" w:line="2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Subject to the provisions of the Companies Law and the regulations promulgated thereunder, shareholders entitled to participate and vote at general meetings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our shareholders:</w:t>
      </w:r>
    </w:p>
    <w:p>
      <w:pPr>
        <w:spacing w:after="0" w:line="200" w:lineRule="exact"/>
        <w:rPr>
          <w:sz w:val="20"/>
          <w:szCs w:val="20"/>
          <w:color w:val="auto"/>
        </w:rPr>
      </w:pPr>
    </w:p>
    <w:p>
      <w:pPr>
        <w:spacing w:after="0" w:line="30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articles of association;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termination or the terms of service of our auditors;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 (if applicable);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3" w:name="page14"/>
    <w:bookmarkEnd w:id="13"/>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related party transactions;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2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1"/>
          <w:szCs w:val="21"/>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the approval of a merger, notice must be provided at least 35 days prior to the meeting. Under the Companies Law and our amended and restated articles of association, shareholders are not permitted to take action by way of written consent in lieu of a meeting.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Quorum</w:t>
      </w:r>
    </w:p>
    <w:p>
      <w:pPr>
        <w:spacing w:after="0" w:line="2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Pursuant to our amended and restated articles of association, holders of our ordinary shares have one vote for each ordinary share held on all matters submitted to a vote before the shareholders at a general meeting. The quorum required for our general meetings of shareholders consists of at least two shareholders present in person, by proxy or written ballot who hold or represent between them at least 25% of the total outstanding voting rights, within half an hour of the time fixed for the commencement of the meeting. A meeting adjourned for lack of a quorum shall be adjourned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Vote requirements</w:t>
      </w:r>
    </w:p>
    <w:p>
      <w:pPr>
        <w:spacing w:after="0" w:line="29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a special majority, including: (i) the approval of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approval of certain compensation-related matters require the approval described under “—Item 6.C. “Directors, Senior Management and Employees—Board Practices—Compensation committee” in our Annual Report on Form 20-F for the year ended December 31, 2020 incorporated by reference herein. Under our amended and restated articles of association, the alteration of the rights, privileges, preferences or obligations of any class of our shares (to the extent there are classes other than ordinary shares) may require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amended and restated articles of association also provide that the removal of any director from office or the amendment of such provision, and certain other provisions regarding our staggered board, shareholder proposals, the size of our board and plurality voting in contested elections require the vote of at least 65% of the total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a majority of the holders holding at least 75% of the voting rights represented at the meeting and voting on the resolution.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i w:val="1"/>
          <w:iCs w:val="1"/>
          <w:color w:val="auto"/>
        </w:rPr>
        <w:t>Access to corporate records</w:t>
      </w:r>
    </w:p>
    <w:p>
      <w:pPr>
        <w:spacing w:after="0" w:line="29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1"/>
          <w:szCs w:val="21"/>
          <w:color w:val="auto"/>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we are required by law to file publicly with the Israeli Companies Registrar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commercial secret or a patent or that the document’s disclosure may otherwise impair our interests.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Acquisitions under Israeli law</w:t>
      </w: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Full tender offer. A person wishing to acquire shares of a public Israeli company and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two percent (2%) of the issued and outstanding share capital of the company (or of the applicable class), all of the shares that the acquirer offered to purchase will be transferred to the acquirer by operation of law. A shareholder who had its shares so transferred may petition the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voting rights or the issued and outstanding share capital of the company (or the applicable class) from shareholders who accepted the tender offer.</w:t>
      </w:r>
    </w:p>
    <w:p>
      <w:pPr>
        <w:spacing w:after="0" w:line="23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i w:val="1"/>
          <w:iCs w:val="1"/>
          <w:color w:val="auto"/>
        </w:rPr>
        <w:t>Special tender offer</w:t>
      </w:r>
      <w:r>
        <w:rPr>
          <w:rFonts w:ascii="Times New Roman" w:cs="Times New Roman" w:eastAsia="Times New Roman" w:hAnsi="Times New Roman"/>
          <w:sz w:val="22"/>
          <w:szCs w:val="22"/>
          <w:color w:val="auto"/>
        </w:rPr>
        <w:t>. The Companies Law provides that an acquisition of shares of an Israeli public company must be made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of a special tender offer if as a result of the acquisition the purchaser would become a holder of 25% or more of the voting rights in the company. This rule does not apply if there is already another holder of 25% or more of the voting rights in the company. Similarly, the Companies Law provides that an acquisition of shares in a public company must be made by means of a tender offer if as a result of the acquisition the purchaser would become a holder of more than 45% of the voting rights in the company, if there is no other shareholder of the company who holds more than 45% of the voting rights in the company. These requirements do not apply if the acquisition (i) occurs in the context of a private placement by the company that received shareholder approval as a private placement whose purpose is to give the acquirer at least 25% of the voting rights in the company if there is no person who holds 25% or more of the voting rights in the company, or as a private placement whose purpose is to give the acquirer 45% of the voting rights in the company, if there is no person who holds 45% of the voting rights in the company, (ii) was from a shareholder holding 25% or more of the voting rights in the company and resulted in the acquirer becoming a holder of 25% or more of the voting rights in the company, or (iii) was from a holder of more than 45% of the voting rights in the company and resulted in the acquirer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25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2"/>
          <w:szCs w:val="22"/>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ectPr>
          <w:pgSz w:w="11900" w:h="16838" w:orient="portrait"/>
          <w:cols w:equalWidth="0" w:num="1">
            <w:col w:w="11240"/>
          </w:cols>
          <w:pgMar w:left="320" w:top="390" w:right="339" w:bottom="191"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67945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 w:name="page17"/>
    <w:bookmarkEnd w:id="16"/>
    <w:p>
      <w:pPr>
        <w:jc w:val="both"/>
        <w:ind w:right="80"/>
        <w:spacing w:after="0" w:line="270" w:lineRule="auto"/>
        <w:rPr>
          <w:sz w:val="20"/>
          <w:szCs w:val="20"/>
          <w:color w:val="auto"/>
        </w:rPr>
      </w:pPr>
      <w:r>
        <w:rPr>
          <w:rFonts w:ascii="Times New Roman" w:cs="Times New Roman" w:eastAsia="Times New Roman" w:hAnsi="Times New Roman"/>
          <w:sz w:val="22"/>
          <w:szCs w:val="22"/>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22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2"/>
          <w:szCs w:val="22"/>
          <w:color w:val="auto"/>
        </w:rPr>
        <w:t>In the event that a special tender offer is accepted, then the purchaser or any person or entity controlling it, at the time of the offer,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3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2"/>
          <w:szCs w:val="22"/>
          <w:i w:val="1"/>
          <w:iCs w:val="1"/>
          <w:color w:val="auto"/>
        </w:rPr>
        <w:t>Merger</w:t>
      </w:r>
      <w:r>
        <w:rPr>
          <w:rFonts w:ascii="Times New Roman" w:cs="Times New Roman" w:eastAsia="Times New Roman" w:hAnsi="Times New Roman"/>
          <w:sz w:val="22"/>
          <w:szCs w:val="22"/>
          <w:color w:val="auto"/>
        </w:rPr>
        <w:t>. The Companies Law permits merger transactions if approved by each party’s board of directors and, unless certain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conditions described under the Companies Law are met, a majority of each party’s shareholders.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24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1"/>
          <w:szCs w:val="21"/>
          <w:color w:val="auto"/>
        </w:rPr>
        <w:t>For purposes of the shareholder vote of a merging company whose shares are held by the other merging company or a person or entity holding 25% or more of the voting rights at the general meeting or the right to appoint 25% or more of the directors of the other merging company, unless a court rules otherwise, the merger will not be deemed approved if a majority of the shares voted on the matter at the shareholders meeting (excluding abstentions) that are held by shareholders other than the other party to the merger, or by any person or entity who holds 25% or more of the voting rights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23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2"/>
          <w:szCs w:val="22"/>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23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22"/>
          <w:szCs w:val="22"/>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Anti-takeover measures</w:t>
      </w:r>
    </w:p>
    <w:p>
      <w:pPr>
        <w:spacing w:after="0" w:line="29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and our amended articles of association as described above in “—Voting rights.” In addition, as disclosed under “—Election of directors” we have a classified board structure, which effectively limits the ability of any investor or potential investor or group of investors or potential investors to gain control of our board of directors.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Borrowing powers</w:t>
      </w:r>
    </w:p>
    <w:p>
      <w:pPr>
        <w:spacing w:after="0" w:line="29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22"/>
          <w:szCs w:val="22"/>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capital</w:t>
      </w:r>
    </w:p>
    <w:p>
      <w:pPr>
        <w:spacing w:after="0" w:line="29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2"/>
          <w:szCs w:val="22"/>
          <w:color w:val="auto"/>
        </w:rPr>
        <w:t>Our amended and restated articles of association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transfer agent and registrar for our ordinary shares is Computershare Trust Company, N.A., at its principal office in Canton, Massachusetts.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ordinary shares are listed on the NYSE under the symbol “FVRR.”</w:t>
      </w: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92" w:right="49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DESCRIPTION OF DEBT SECURITIES</w:t>
      </w:r>
    </w:p>
    <w:p>
      <w:pPr>
        <w:spacing w:after="0" w:line="29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2"/>
          <w:szCs w:val="22"/>
          <w:color w:val="auto"/>
        </w:rPr>
        <w:t>We may issue debt securities together with other securities or separately, as described in the applicable prospectus supplement. The debt securities will be issued under an indenture between us and a trustee identified in the applicable prospectus supplement, the form of which is incorporated by reference as an exhibit to the registration statement of which this prospectus forms a part. The executed indenture will be incorporated by reference from a report of foreign private issuer on Form 6-K. We encourage you to read the indenture, because the indenture will govern your rights as a holder of debt securities. The indenture will be subject to and governed by the Trust Indenture Act of 1939, as amended.</w:t>
      </w:r>
    </w:p>
    <w:p>
      <w:pPr>
        <w:spacing w:after="0" w:line="23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22"/>
          <w:szCs w:val="22"/>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226"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22"/>
          <w:szCs w:val="22"/>
          <w:color w:val="auto"/>
        </w:rPr>
        <w:t>The applicable prospectus supplement, including any applicable pricing supplement, will set forth, to the extent required, the following terms of the debt securities in respect of which the prospectus supplement is delivered:</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and/or, if applicable, the method used to determine such rate or rates;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guarantors and an outline of the contract of guarantee;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trustee and paying agents;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 of $1,000, or any integral multiple of that number;</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or global debt securities;</w:t>
      </w:r>
    </w:p>
    <w:p>
      <w:pPr>
        <w:spacing w:after="0" w:line="279"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United States federal income tax consequences and certain Israeli tax consequences, including any tax effects of any original issue discount as defined in Section 1232 of the Internal Revenue Code;</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19" w:name="page20"/>
    <w:bookmarkEnd w:id="19"/>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279"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21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279"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and any provisions that require us to provide periodic evidence of the absence of a default or of compliance with the terms of the indenture;</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our ordinary shares;</w:t>
      </w:r>
    </w:p>
    <w:p>
      <w:pPr>
        <w:spacing w:after="0" w:line="279"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restricting the declaration of dividends or requiring the creation or maintenance of any reserves or of any ratio of assets or requiring the maintenance of properties;</w:t>
      </w:r>
    </w:p>
    <w:p>
      <w:pPr>
        <w:spacing w:after="0" w:line="21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permitting or restricting the issuance of additional securities, the withdrawal of cash deposited against the issuance of additional securities, the incurring of additional debt, the release or substitution of assets securing the issue or the modification of the terms of the security;</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that allow the modification of the terms of the security or the rights of the security holders;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w:t>
      </w:r>
    </w:p>
    <w:p>
      <w:pPr>
        <w:spacing w:after="0" w:line="28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22"/>
          <w:szCs w:val="22"/>
          <w:color w:val="auto"/>
        </w:rPr>
        <w:t>One or more debt securities may be sold at a substantial discount below their stated principal amount. We may also issue debt securities in bearer form, with or without coupons. If we issue discount debt securities or debt securities in bearer form, we will describe material Israeli tax and U.S. federal income tax considerations and other material special considerations that apply to these debt securities in the applicable prospectus supplement.</w:t>
      </w:r>
    </w:p>
    <w:p>
      <w:pPr>
        <w:spacing w:after="0" w:line="233"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22"/>
          <w:szCs w:val="22"/>
          <w:color w:val="auto"/>
        </w:rPr>
        <w:t>We may issue debt securities denominated in or payable in a foreign currency or currencies. If we do, we will describe the restrictions, elections, and general tax considerations relating to the debt securities and the foreign currency or currencies in the applicable prospectus supplement.</w:t>
      </w:r>
    </w:p>
    <w:p>
      <w:pPr>
        <w:spacing w:after="0" w:line="2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2"/>
          <w:szCs w:val="22"/>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1" w:right="359" w:bottom="1440" w:gutter="0" w:footer="0" w:header="0"/>
        </w:sectPr>
      </w:pPr>
    </w:p>
    <w:bookmarkStart w:id="20" w:name="page21"/>
    <w:bookmarkEnd w:id="20"/>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DESCRIPTION OF OTHER SECURITIES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We will set forth in the applicable prospectus supplement a description of any warrants, purchase contracts or units issued by us that may be offered and sold pursuant to this prospectus.</w:t>
      </w:r>
    </w:p>
    <w:p>
      <w:pPr>
        <w:spacing w:after="0" w:line="3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92" w:right="5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GLOBAL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Book-Entry, Delivery and Form</w:t>
      </w:r>
    </w:p>
    <w:p>
      <w:pPr>
        <w:spacing w:after="0" w:line="29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2"/>
          <w:szCs w:val="22"/>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DTC has advised us that it is:</w:t>
      </w:r>
    </w:p>
    <w:p>
      <w:pPr>
        <w:spacing w:after="0" w:line="283"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83"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1"/>
          <w:szCs w:val="21"/>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22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21"/>
          <w:szCs w:val="21"/>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22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2"/>
          <w:szCs w:val="22"/>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2" w:name="page23"/>
    <w:bookmarkEnd w:id="22"/>
    <w:p>
      <w:pPr>
        <w:ind w:right="20"/>
        <w:spacing w:after="0" w:line="281" w:lineRule="auto"/>
        <w:rPr>
          <w:sz w:val="20"/>
          <w:szCs w:val="20"/>
          <w:color w:val="auto"/>
        </w:rPr>
      </w:pPr>
      <w:r>
        <w:rPr>
          <w:rFonts w:ascii="Times New Roman" w:cs="Times New Roman" w:eastAsia="Times New Roman" w:hAnsi="Times New Roman"/>
          <w:sz w:val="21"/>
          <w:szCs w:val="21"/>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1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2"/>
          <w:szCs w:val="22"/>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22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1"/>
          <w:szCs w:val="21"/>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8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22"/>
          <w:szCs w:val="22"/>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23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2"/>
          <w:szCs w:val="22"/>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24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2"/>
          <w:szCs w:val="22"/>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24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22"/>
          <w:szCs w:val="22"/>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226"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22"/>
          <w:szCs w:val="22"/>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21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22"/>
          <w:szCs w:val="22"/>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3" w:name="page24"/>
    <w:bookmarkEnd w:id="23"/>
    <w:p>
      <w:pPr>
        <w:ind w:right="480"/>
        <w:spacing w:after="0" w:line="284" w:lineRule="auto"/>
        <w:rPr>
          <w:sz w:val="20"/>
          <w:szCs w:val="20"/>
          <w:color w:val="auto"/>
        </w:rPr>
      </w:pPr>
      <w:r>
        <w:rPr>
          <w:rFonts w:ascii="Times New Roman" w:cs="Times New Roman" w:eastAsia="Times New Roman" w:hAnsi="Times New Roman"/>
          <w:sz w:val="22"/>
          <w:szCs w:val="22"/>
          <w:color w:val="auto"/>
        </w:rPr>
        <w:t>As noted above, beneficial owners of a particular series of securities generally will not receive certificates representing their ownership interests in those securities. However, if:</w:t>
      </w:r>
    </w:p>
    <w:p>
      <w:pPr>
        <w:spacing w:after="0" w:line="207" w:lineRule="exact"/>
        <w:rPr>
          <w:sz w:val="20"/>
          <w:szCs w:val="20"/>
          <w:color w:val="auto"/>
        </w:rPr>
      </w:pPr>
    </w:p>
    <w:p>
      <w:pPr>
        <w:ind w:left="820" w:right="80" w:hanging="245"/>
        <w:spacing w:after="0" w:line="261"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3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7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83"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22"/>
          <w:szCs w:val="22"/>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Euroclear and Clearstream</w:t>
      </w:r>
    </w:p>
    <w:p>
      <w:pPr>
        <w:spacing w:after="0" w:line="293"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21"/>
          <w:szCs w:val="21"/>
          <w:color w:val="auto"/>
        </w:rPr>
        <w:t>If so provided in the applicable prospectus supplement,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w:t>
      </w:r>
    </w:p>
    <w:p>
      <w:pPr>
        <w:spacing w:after="0" w:line="1"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22"/>
          <w:szCs w:val="22"/>
          <w:color w:val="auto"/>
        </w:rPr>
        <w:t>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233"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22"/>
          <w:szCs w:val="22"/>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23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2"/>
          <w:szCs w:val="22"/>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23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22"/>
          <w:szCs w:val="22"/>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23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ectPr>
          <w:pgSz w:w="11900" w:h="16838" w:orient="portrait"/>
          <w:cols w:equalWidth="0" w:num="1">
            <w:col w:w="11220"/>
          </w:cols>
          <w:pgMar w:left="320" w:top="396"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type w:val="continuous"/>
        </w:sectPr>
      </w:pPr>
    </w:p>
    <w:bookmarkStart w:id="24" w:name="page25"/>
    <w:bookmarkEnd w:id="24"/>
    <w:p>
      <w:pPr>
        <w:ind w:right="400"/>
        <w:spacing w:after="0" w:line="275" w:lineRule="auto"/>
        <w:rPr>
          <w:sz w:val="20"/>
          <w:szCs w:val="20"/>
          <w:color w:val="auto"/>
        </w:rPr>
      </w:pPr>
      <w:r>
        <w:rPr>
          <w:rFonts w:ascii="Times New Roman" w:cs="Times New Roman" w:eastAsia="Times New Roman" w:hAnsi="Times New Roman"/>
          <w:sz w:val="21"/>
          <w:szCs w:val="21"/>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w:t>
      </w:r>
    </w:p>
    <w:p>
      <w:pPr>
        <w:spacing w:after="0" w:line="2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291"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2"/>
          <w:szCs w:val="22"/>
          <w:color w:val="auto"/>
        </w:rPr>
        <w:t>We may sell our securities from time to time in one or more transactions. We may sell our securities to or through one or more agents, underwriters, dealers, remarketing firms or other third parties or directly to one or more purchasers or through a combination of any of these methods. In some cases, we or dealers acting with us or on our behalf may also purchase our securities and reoffer them to the public. We may also offer and sell, or agree to deliver, securities pursuant to, or in connection with, any option agreement or other contractual arrangement.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Agents whom we designate may solicit offers to purchase our securities.</w:t>
      </w:r>
    </w:p>
    <w:p>
      <w:pPr>
        <w:spacing w:after="0" w:line="283" w:lineRule="exact"/>
        <w:rPr>
          <w:sz w:val="20"/>
          <w:szCs w:val="20"/>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name any agent involved in offering or selling our securities, and disclose any commissions that we will pay to the agent, in the applicable prospectus supplement.</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applicable prospectus supplement, agents will act on a best efforts basis for the period of their appointment.</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may be deemed to be underwriters under the Securities Act of any of our securities that they offer or sell.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may use an underwriter or underwriters in the offer or sale of our securities.</w:t>
      </w:r>
    </w:p>
    <w:p>
      <w:pPr>
        <w:spacing w:after="0" w:line="283"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an underwriter or underwriters, we will execute an underwriting agreement with the underwriter or underwriters at the time that we reach an agreement for the sale of our securities.</w:t>
      </w:r>
    </w:p>
    <w:p>
      <w:pPr>
        <w:spacing w:after="0" w:line="21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names of the specific managing underwriter or underwriters, as well as the names of any other underwriters, and the terms of the transactions, including the compensation the underwriters and dealers will receive, in the applicable prospectus supplement.</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will use the applicable prospectus supplement, together with the prospectus, to sell our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may use a dealer to sell our securities.</w:t>
      </w:r>
    </w:p>
    <w:p>
      <w:pPr>
        <w:spacing w:after="0" w:line="28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 dealer, we will sell our securities to the dealer, as principal.</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will then sell our securities to the public at varying prices that the dealer will determine at the time it sells our securities.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 of the dealer and the terms of the transactions with the dealer in the applicable prospectus supplement.</w:t>
      </w:r>
    </w:p>
    <w:p>
      <w:pPr>
        <w:spacing w:after="0" w:line="28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2"/>
          <w:szCs w:val="22"/>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may directly solicit offers to purchase our securities, and we may directly sell our securities to institutional or other investors.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will describe the terms of direct sales in the applicable prospectus supplement.</w:t>
      </w:r>
    </w:p>
    <w:p>
      <w:pPr>
        <w:spacing w:after="0" w:line="275"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22"/>
          <w:szCs w:val="22"/>
          <w:color w:val="auto"/>
        </w:rPr>
        <w:t>We may engage in at-the-market offerings into an existing trading market in accordance with Rule 415(a)(4) of the Securities Act.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6" w:name="page27"/>
    <w:bookmarkEnd w:id="26"/>
    <w:p>
      <w:pPr>
        <w:ind w:right="60"/>
        <w:spacing w:after="0" w:line="260" w:lineRule="auto"/>
        <w:rPr>
          <w:sz w:val="20"/>
          <w:szCs w:val="20"/>
          <w:color w:val="auto"/>
        </w:rPr>
      </w:pPr>
      <w:r>
        <w:rPr>
          <w:rFonts w:ascii="Times New Roman" w:cs="Times New Roman" w:eastAsia="Times New Roman" w:hAnsi="Times New Roman"/>
          <w:sz w:val="22"/>
          <w:szCs w:val="22"/>
          <w:color w:val="auto"/>
        </w:rPr>
        <w:t>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24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Agents, underwriters and dealers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indemnify agents, underwriters and dealers against certain liabilities, including liabilities under the Securities Act. Agents, underwriters and dealers, or their affiliates, may be customers of, engage in transactions with or perform services for us or our respective affiliates, in the ordinary course of business.</w:t>
      </w:r>
    </w:p>
    <w:p>
      <w:pPr>
        <w:spacing w:after="0" w:line="23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22"/>
          <w:szCs w:val="22"/>
          <w:color w:val="auto"/>
        </w:rPr>
        <w:t>We may authorize agents and underwriters to solicit offers by certain institutions to purchase our securities at the public offering price under delayed delivery contracts.</w:t>
      </w:r>
    </w:p>
    <w:p>
      <w:pPr>
        <w:spacing w:after="0" w:line="207" w:lineRule="exact"/>
        <w:rPr>
          <w:sz w:val="20"/>
          <w:szCs w:val="20"/>
          <w:color w:val="auto"/>
        </w:rPr>
      </w:pPr>
    </w:p>
    <w:p>
      <w:pPr>
        <w:ind w:left="660" w:right="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delayed delivery contracts, we will disclose that we are using them in the prospectus supplement and will tell you when we will demand payment and when delivery of our securities will be made under the delayed delivery contracts.</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delayed delivery contracts will be subject only to the conditions that we describe in the prospectus supplement.</w:t>
      </w:r>
    </w:p>
    <w:p>
      <w:pPr>
        <w:spacing w:after="0" w:line="279"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describe in the applicable prospectus supplement the commission that underwriters and agents soliciting purchases of our securities under delayed delivery contracts will be entitled to receive.</w:t>
      </w:r>
    </w:p>
    <w:p>
      <w:pPr>
        <w:spacing w:after="0" w:line="22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22"/>
          <w:szCs w:val="22"/>
          <w:color w:val="auto"/>
        </w:rPr>
        <w:t>Unless otherwise specified in connection with a particular underwritten offering of our securities, the underwriters will not be obligated to purchase offered securities unless specified conditions are satisfied, and if the underwriters do purchase any offered securities, they will purchase all offered securities.</w:t>
      </w:r>
    </w:p>
    <w:p>
      <w:pPr>
        <w:spacing w:after="0" w:line="2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w:t>
      </w:r>
    </w:p>
    <w:p>
      <w:pPr>
        <w:spacing w:after="0" w:line="23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7" w:name="page28"/>
    <w:bookmarkEnd w:id="27"/>
    <w:p>
      <w:pPr>
        <w:ind w:right="180"/>
        <w:spacing w:after="0" w:line="265" w:lineRule="auto"/>
        <w:rPr>
          <w:sz w:val="20"/>
          <w:szCs w:val="20"/>
          <w:color w:val="auto"/>
        </w:rPr>
      </w:pPr>
      <w:r>
        <w:rPr>
          <w:rFonts w:ascii="Times New Roman" w:cs="Times New Roman" w:eastAsia="Times New Roman" w:hAnsi="Times New Roman"/>
          <w:sz w:val="22"/>
          <w:szCs w:val="22"/>
          <w:color w:val="auto"/>
        </w:rPr>
        <w:t>The underwriters, dealers and agents may engage in other transactions with us, or perform other services for us, in the ordinary course of their business. Underwriters have from time to time in the past provided and may from time to time in the future provide, investment banking services to us for which they have in the past received, and may in the future receive, customary fees.</w:t>
      </w:r>
    </w:p>
    <w:p>
      <w:pPr>
        <w:spacing w:after="0" w:line="2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 negotiated transactions, or through an underwritten public offering, or through a combination of any such methods of sale, at market prices prevailing at the time of sale, prices relating to such prevailing market prices or at negotiated or fixed prices.</w:t>
      </w:r>
    </w:p>
    <w:p>
      <w:pPr>
        <w:spacing w:after="0" w:line="239"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22"/>
          <w:szCs w:val="22"/>
          <w:color w:val="auto"/>
        </w:rPr>
        <w:t>The specific terms of the lock-up provisions, if any, with respect to any given offering will be described in the applicable prospectus supplement.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expenses of any offering of our securities will be detailed in the applicable prospectus supplement.</w:t>
      </w:r>
    </w:p>
    <w:p>
      <w:pPr>
        <w:spacing w:after="0" w:line="28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22"/>
          <w:szCs w:val="22"/>
          <w:color w:val="auto"/>
        </w:rPr>
        <w:t>We will identify the specific plan of distribution, including any agents, underwriters, dealers, remarketing firms or other third parties and their compensation in a prospectus supplement.</w:t>
      </w:r>
    </w:p>
    <w:p>
      <w:pPr>
        <w:spacing w:after="0" w:line="3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ENFORCEABILITY OF CIVIL LIABILITIES</w:t>
      </w:r>
    </w:p>
    <w:p>
      <w:pPr>
        <w:spacing w:after="0" w:line="29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We are incorporated under the laws of the State of Israel. Service of process upon us and upon our directors and officers and the Israeli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23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22"/>
          <w:szCs w:val="22"/>
          <w:color w:val="auto"/>
        </w:rPr>
        <w:t>We have irrevocably appointed C T Corporation System as our agent to receive service of process in any action against us in any U.S. federal or state court arising out of this offering or any purchase or sale of securities in connection with this offering. The address of our agent is 28 Liberty Street, New York, NY 10005.</w:t>
      </w:r>
    </w:p>
    <w:p>
      <w:pPr>
        <w:spacing w:after="0" w:line="2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2"/>
          <w:szCs w:val="22"/>
          <w:color w:val="auto"/>
        </w:rPr>
        <w:t>We have been informed by our legal counsel in Israel, Meitar | Law Offices,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w:t>
      </w:r>
    </w:p>
    <w:p>
      <w:pPr>
        <w:spacing w:after="0" w:line="239"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21"/>
          <w:szCs w:val="21"/>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spacing w:after="0" w:line="20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which was, according to the laws of the state of the court, competent to render the judgment;</w:t>
      </w:r>
    </w:p>
    <w:p>
      <w:pPr>
        <w:spacing w:after="0" w:line="2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imposed by the judgment is enforceable according to the rules relating to the enforceability of judgments in Israel and the substance of the judgment is not contrary to public policy; and</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executory in the state in which it was given.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Even if these conditions are met, an Israeli court may not declare a foreign civil judgment enforceable if:</w:t>
      </w:r>
    </w:p>
    <w:p>
      <w:pPr>
        <w:spacing w:after="0" w:line="2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given in a state whose laws do not provide for the enforcement of judgments of Israeli courts (subject to exceptional cases);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is likely to prejudice the sovereignty or security of the State of Israel;</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by fraud;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given to the defendant to bring its arguments and evidence before the court was not reasonable in the opinion of the Israeli court;</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not competent to render it according to the laws of private international law as they apply in Israel;</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contradictory to another judgment that was given in the same matter between the same parties and that is still valid; or</w:t>
      </w:r>
    </w:p>
    <w:p>
      <w:pPr>
        <w:spacing w:after="0" w:line="279"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action was brought in the foreign court, a lawsuit in the same matter and between the same parties was pending before a court or tribunal in Israel.</w:t>
      </w:r>
    </w:p>
    <w:p>
      <w:pPr>
        <w:spacing w:after="0" w:line="2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2"/>
          <w:szCs w:val="22"/>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29" w:name="page30"/>
    <w:bookmarkEnd w:id="29"/>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2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The validity of our ordinary shares and certain other matters of Israeli law will be passed upon for us by Meitar | Law Offices. The validity of the debt securities, warrants, purchase contracts and units offered hereby will be passed upon for us by Latham &amp; Watkins LLP. Additional legal matters may be passed upon for us, any underwriters, dealers or agents by counsel that we will name in the applicable prospectus supplement.</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92" w:right="439" w:bottom="1440" w:gutter="0" w:footer="0" w:header="0"/>
        </w:sectPr>
      </w:pPr>
    </w:p>
    <w:bookmarkStart w:id="30" w:name="page31"/>
    <w:bookmarkEnd w:id="3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2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The consolidated financial statements of Fiverr International Ltd. appearing in Fiverr International Ltd.'s Annual Report (Form 20-F) for the year ended December 31, 2020, and the effectiveness of Fiverr International Ltd.'s internal control over financial reporting as of December 31, 2020, have been audited by Kost Forer Gabbay &amp; Kasierer, a member of Ernst &amp; Young Global,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92" w:right="459" w:bottom="1440" w:gutter="0" w:footer="0" w:header="0"/>
        </w:sectPr>
      </w:pPr>
    </w:p>
    <w:bookmarkStart w:id="31" w:name="page32"/>
    <w:bookmarkEnd w:id="3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WHERE YOU CAN FIND MORE INFORMATION</w:t>
      </w:r>
    </w:p>
    <w:p>
      <w:pPr>
        <w:spacing w:after="0" w:line="29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2"/>
          <w:szCs w:val="22"/>
          <w:color w:val="auto"/>
        </w:rPr>
        <w:t>This prospectus is part of the registration statement on Form F-3 we filed with the SEC under the Securities Act, and does not contain all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3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1"/>
          <w:szCs w:val="21"/>
          <w:color w:val="auto"/>
        </w:rPr>
        <w:t>We are subject to the informational requirements of the Exchange Act. Our annual report on Form 20-F for the year ended December 31, 2020 has been filed with the SEC. We have also filed current reports with the SEC on Form 6-K. Such reports and other information filed with the SEC are available to the public over the Internet at the SEC's website at http://www.sec.gov.</w:t>
      </w:r>
    </w:p>
    <w:p>
      <w:pPr>
        <w:spacing w:after="0" w:line="21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2" w:right="41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OF CERTAIN INFORMATION BY REFERENCE</w:t>
      </w:r>
    </w:p>
    <w:p>
      <w:pPr>
        <w:spacing w:after="0" w:line="29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2"/>
          <w:szCs w:val="22"/>
          <w:color w:val="auto"/>
        </w:rPr>
        <w:t>The SEC allows us to “incorporate by reference” into this prospectus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made by us with the SEC under Section 13(a), 13(c) 15(d) of the Exchange Act, except for information “furnished” to the SEC which is not deemed filed and not incorporated in this prospectus, until the termination of the offering of securities described in the applicable prospectus supplement.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hereby incorporate the following documents by reference:</w:t>
      </w:r>
    </w:p>
    <w:p>
      <w:pPr>
        <w:spacing w:after="0" w:line="2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20-F for the year ended December 31, 2020, which was filed with the SEC on February 18, 2021; and</w:t>
      </w:r>
    </w:p>
    <w:p>
      <w:pPr>
        <w:spacing w:after="0" w:line="2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ordinary shares contained in our registration statement on Form 8-A, which was filed with the SEC on June 4, 2019, as updated or amended in any amendment or report filed for such purpose.</w:t>
      </w:r>
    </w:p>
    <w:p>
      <w:pPr>
        <w:spacing w:after="0" w:line="2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We also incorporate by reference any future annual reports on Form 20-F we file with the SEC under the Exchange Act after the date of this prospectus and prior to the termination of any offering contemplated in this prospectus, and any future reports on Form 6-K we furnish to the SEC during such period that are identified in such reports as being incorporated by reference in this prospectus.</w:t>
      </w:r>
    </w:p>
    <w:p>
      <w:pPr>
        <w:spacing w:after="0" w:line="2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We will provide to each person, including any beneficial owners, to whom a prospectus is delivered, upon written or oral request of any such person, a copy of the reports and documents that have been incorporated by reference into this prospectus, at no cost. Any such request should be directed to: Fiverr International Ltd., 8 Eliezer Kaplan St., Tel Aviv 6473409, Israel or by telephone to +972 72 2280910. These documents are also available on the Investor Relations section of our website, which is located at www.fiverr.com, or as described under “Where You Can Find More Information” above. The information on our website does not constitute part of this document and is not incorporated by reference herein.</w:t>
      </w:r>
    </w:p>
    <w:p>
      <w:pPr>
        <w:spacing w:after="0" w:line="23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22"/>
          <w:szCs w:val="22"/>
          <w:color w:val="auto"/>
        </w:rPr>
        <w:t>Any statement in a document incorporated or deemed to be incorporated by reference herein shall be deemed to be modified or superseded for the purposes of this registration statement to the extent that a statement contained herein modifies or supersedes such statement. Any statement so modified or superseded shall not be deemed, except as so modified or superseded, to constitute a part of this registration statement.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9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The following table sets forth the expenses (other than underwriting discounts and commissions or agency fees and other items constituting underwriters’ or agents’ compensation, if any) expected to be incurred by us in connection with a possible offering of the securities registered under the registration statement of which this prospectus forms a part.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 and expenses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Trustee and transfer agent fees and expenses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6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3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84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82"/>
        </w:trPr>
        <w:tc>
          <w:tcPr>
            <w:tcW w:w="6640" w:type="dxa"/>
            <w:vAlign w:val="bottom"/>
          </w:tcPr>
          <w:p>
            <w:pPr>
              <w:spacing w:after="0"/>
              <w:rPr>
                <w:sz w:val="20"/>
                <w:szCs w:val="20"/>
                <w:color w:val="auto"/>
              </w:rPr>
            </w:pPr>
            <w:r>
              <w:rPr>
                <w:rFonts w:ascii="Times New Roman" w:cs="Times New Roman" w:eastAsia="Times New Roman" w:hAnsi="Times New Roman"/>
                <w:sz w:val="22"/>
                <w:szCs w:val="22"/>
                <w:color w:val="auto"/>
              </w:rPr>
              <w:t>____</w:t>
            </w: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5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22"/>
          <w:szCs w:val="22"/>
          <w:color w:val="auto"/>
        </w:rPr>
        <w:t>*To be deferred pursuant to Rule 456(b) under the Securities Act and calculated in connection with an offering of shares under this registration statement pursuant to Rule 457(r) under the Securities Act.</w:t>
      </w:r>
    </w:p>
    <w:p>
      <w:pPr>
        <w:spacing w:after="0" w:line="211"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22"/>
          <w:szCs w:val="22"/>
          <w:color w:val="auto"/>
        </w:rPr>
        <w:t>**Estimated fees and expenses are not presently known. If required, to be provided by a prospectus supplement or as an exhibit to a Current Report on Form 6-K that is incorporated by reference into this prospectus.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8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INFORMATION NOT REQUIRED IN PROSPECTUS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Indemnification of Directors and Officers.</w:t>
      </w:r>
    </w:p>
    <w:p>
      <w:pPr>
        <w:spacing w:after="0" w:line="29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2"/>
          <w:szCs w:val="22"/>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spacing w:after="0" w:line="234" w:lineRule="exact"/>
        <w:rPr>
          <w:sz w:val="20"/>
          <w:szCs w:val="20"/>
          <w:color w:val="auto"/>
        </w:rPr>
      </w:pPr>
    </w:p>
    <w:p>
      <w:pPr>
        <w:jc w:val="both"/>
        <w:ind w:right="780"/>
        <w:spacing w:after="0" w:line="270" w:lineRule="auto"/>
        <w:rPr>
          <w:sz w:val="20"/>
          <w:szCs w:val="20"/>
          <w:color w:val="auto"/>
        </w:rPr>
      </w:pPr>
      <w:r>
        <w:rPr>
          <w:rFonts w:ascii="Times New Roman" w:cs="Times New Roman" w:eastAsia="Times New Roman" w:hAnsi="Times New Roman"/>
          <w:sz w:val="22"/>
          <w:szCs w:val="22"/>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222" w:lineRule="exact"/>
        <w:rPr>
          <w:sz w:val="20"/>
          <w:szCs w:val="20"/>
          <w:color w:val="auto"/>
        </w:rPr>
      </w:pPr>
    </w:p>
    <w:p>
      <w:pPr>
        <w:ind w:left="660" w:hanging="328"/>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liability imposed on him or her in favor of another person pursuant to a judgment,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237"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237"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229"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p>
      <w:pPr>
        <w:spacing w:after="0" w:line="23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22"/>
          <w:szCs w:val="22"/>
          <w:color w:val="auto"/>
        </w:rPr>
        <w:t>An Israeli company may insure an office holder against the following liabilities incurred for acts performed as an office holder if and to the extent provided in the company’s articles of association:</w:t>
      </w:r>
    </w:p>
    <w:p>
      <w:pPr>
        <w:spacing w:after="0" w:line="207" w:lineRule="exact"/>
        <w:rPr>
          <w:sz w:val="20"/>
          <w:szCs w:val="20"/>
          <w:color w:val="auto"/>
        </w:rPr>
      </w:pPr>
    </w:p>
    <w:p>
      <w:pPr>
        <w:ind w:left="660" w:right="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to the extent that the office holder acted in good faith and had a reasonable basis to believe that the act would not prejudice the company;</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to the company or to a third-party, including a breach arising out of the negligent conduct of the office holder;</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third-party;</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third-party harmed by a breach in an administrative proceeding; and</w:t>
      </w:r>
    </w:p>
    <w:p>
      <w:pPr>
        <w:spacing w:after="0" w:line="279"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381" w:lineRule="exact"/>
        <w:rPr>
          <w:rFonts w:ascii="Times New Roman" w:cs="Times New Roman" w:eastAsia="Times New Roman" w:hAnsi="Times New Roman"/>
          <w:sz w:val="18"/>
          <w:szCs w:val="18"/>
          <w:color w:val="auto"/>
        </w:rPr>
      </w:pPr>
    </w:p>
    <w:p>
      <w:pPr>
        <w:ind w:left="5600" w:hanging="192"/>
        <w:spacing w:after="0"/>
        <w:tabs>
          <w:tab w:leader="none" w:pos="56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An Israeli company may not indemnify or insure an office holder against any of the following:</w:t>
      </w:r>
    </w:p>
    <w:p>
      <w:pPr>
        <w:spacing w:after="0" w:line="283" w:lineRule="exact"/>
        <w:rPr>
          <w:sz w:val="20"/>
          <w:szCs w:val="20"/>
          <w:color w:val="auto"/>
        </w:rPr>
      </w:pPr>
    </w:p>
    <w:p>
      <w:pPr>
        <w:ind w:left="660" w:right="4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to the extent that the office holder acted in good faith and had a reasonable basis to believe that the act would not prejudice the company;</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committed intentionally or recklessly, excluding a breach arising out of the negligent conduct of the office holder;</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monetary sanction or forfeit levied against the office holder.</w:t>
      </w:r>
    </w:p>
    <w:p>
      <w:pPr>
        <w:spacing w:after="0" w:line="2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2"/>
          <w:szCs w:val="22"/>
          <w:color w:val="auto"/>
        </w:rPr>
        <w:t>Under the Companies Law, exculpation, indemnification and insurance of office holders must be approved by the compensation committee and the board of directors (and, with respect to directors and the Chief Executive Officer, by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that compensation policy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24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22"/>
          <w:szCs w:val="22"/>
          <w:color w:val="auto"/>
        </w:rPr>
        <w:t>Our amended and restated articles of association allow us to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22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2"/>
          <w:szCs w:val="22"/>
          <w:color w:val="auto"/>
        </w:rPr>
        <w:t>We have entered into agreements with each of our directors and executive officers exculpating them,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2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2"/>
          <w:szCs w:val="22"/>
          <w:color w:val="auto"/>
        </w:rPr>
        <w:t>The maximum indemnification amount set forth in such agreements is limited to an amount equal to the higher of $40 million and 25% of our total shareholders’ equity as reflected in our most recent consolidated financial statements prior to the date on which the indemnity payment is made (other than indemnification for an offering of securities to the public, including by a shareholder in a secondary offering, in which case the maximum indemnification amount is limited to the gross proceeds raised by us in such public offering). The maximum amount set forth in such agreements is in addition to any amount paid (if paid) under insurance and/or by a third-party pursuant to an indemnification arrangement.</w:t>
      </w:r>
    </w:p>
    <w:p>
      <w:pPr>
        <w:spacing w:after="0" w:line="23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In the opinion of the SEC, indemnification of directors and office holders for liabilities arising under the Securities Act, however, is against public policy and therefore unenforceable.</w:t>
      </w:r>
    </w:p>
    <w:p>
      <w:pPr>
        <w:spacing w:after="0" w:line="21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There is no pending litigation or proceeding against any of our office holders as to which indemnification is being sought, nor are we aware of any pending or threatened litigation that may result in claims for indemnification by any office holder.</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Item 9.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95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0"/>
        </w:trPr>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94"/>
        </w:trPr>
        <w:tc>
          <w:tcPr>
            <w:tcW w:w="640" w:type="dxa"/>
            <w:vAlign w:val="bottom"/>
          </w:tcPr>
          <w:p>
            <w:pPr>
              <w:spacing w:after="0" w:line="194" w:lineRule="exact"/>
              <w:rPr>
                <w:rFonts w:ascii="Times New Roman" w:cs="Times New Roman" w:eastAsia="Times New Roman" w:hAnsi="Times New Roman"/>
                <w:sz w:val="18"/>
                <w:szCs w:val="18"/>
                <w:u w:val="single" w:color="auto"/>
                <w:color w:val="0000EE"/>
              </w:rPr>
            </w:pPr>
            <w:hyperlink r:id="rId53">
              <w:r>
                <w:rPr>
                  <w:rFonts w:ascii="Times New Roman" w:cs="Times New Roman" w:eastAsia="Times New Roman" w:hAnsi="Times New Roman"/>
                  <w:sz w:val="18"/>
                  <w:szCs w:val="18"/>
                  <w:u w:val="single" w:color="auto"/>
                  <w:color w:val="0000EE"/>
                </w:rPr>
                <w:t>3.1</w:t>
              </w:r>
            </w:hyperlink>
          </w:p>
        </w:tc>
        <w:tc>
          <w:tcPr>
            <w:tcW w:w="660" w:type="dxa"/>
            <w:vAlign w:val="bottom"/>
          </w:tcPr>
          <w:p>
            <w:pPr>
              <w:spacing w:after="0"/>
              <w:rPr>
                <w:sz w:val="16"/>
                <w:szCs w:val="16"/>
                <w:color w:val="auto"/>
              </w:rPr>
            </w:pPr>
          </w:p>
        </w:tc>
        <w:tc>
          <w:tcPr>
            <w:tcW w:w="9580" w:type="dxa"/>
            <w:vAlign w:val="bottom"/>
            <w:gridSpan w:val="5"/>
          </w:tcPr>
          <w:p>
            <w:pPr>
              <w:spacing w:after="0" w:line="194"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Amended and Restated Articles of Association of Fiverr International Ltd. (incorporated by reference to Exhibit number 1.1 to our</w:t>
              </w:r>
            </w:hyperlink>
          </w:p>
        </w:tc>
      </w:tr>
      <w:tr>
        <w:trPr>
          <w:trHeight w:val="196"/>
        </w:trPr>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Annual Report on Form 20-F (file no. 001-38929) filed with the SEC on March 31, 2020)</w:t>
              </w:r>
            </w:hyperlink>
          </w:p>
        </w:tc>
        <w:tc>
          <w:tcPr>
            <w:tcW w:w="18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r>
      <w:tr>
        <w:trPr>
          <w:trHeight w:val="196"/>
        </w:trPr>
        <w:tc>
          <w:tcPr>
            <w:tcW w:w="640" w:type="dxa"/>
            <w:vAlign w:val="bottom"/>
          </w:tcPr>
          <w:p>
            <w:pPr>
              <w:spacing w:after="0" w:line="196" w:lineRule="exact"/>
              <w:rPr>
                <w:rFonts w:ascii="Times New Roman" w:cs="Times New Roman" w:eastAsia="Times New Roman" w:hAnsi="Times New Roman"/>
                <w:sz w:val="18"/>
                <w:szCs w:val="18"/>
                <w:u w:val="single" w:color="auto"/>
                <w:color w:val="0000EE"/>
              </w:rPr>
            </w:pPr>
            <w:hyperlink r:id="rId54">
              <w:r>
                <w:rPr>
                  <w:rFonts w:ascii="Times New Roman" w:cs="Times New Roman" w:eastAsia="Times New Roman" w:hAnsi="Times New Roman"/>
                  <w:sz w:val="18"/>
                  <w:szCs w:val="18"/>
                  <w:u w:val="single" w:color="auto"/>
                  <w:color w:val="0000EE"/>
                </w:rPr>
                <w:t>4.1</w:t>
              </w:r>
            </w:hyperlink>
          </w:p>
        </w:tc>
        <w:tc>
          <w:tcPr>
            <w:tcW w:w="660" w:type="dxa"/>
            <w:vAlign w:val="bottom"/>
          </w:tcPr>
          <w:p>
            <w:pPr>
              <w:spacing w:after="0"/>
              <w:rPr>
                <w:sz w:val="17"/>
                <w:szCs w:val="17"/>
                <w:color w:val="auto"/>
              </w:rPr>
            </w:pPr>
          </w:p>
        </w:tc>
        <w:tc>
          <w:tcPr>
            <w:tcW w:w="9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Specimen share certificate (incorporated by reference to Exhibit number 4.1 to our Registration Statement on Form F-1 (file no. 333-</w:t>
              </w:r>
            </w:hyperlink>
          </w:p>
        </w:tc>
      </w:tr>
      <w:tr>
        <w:trPr>
          <w:trHeight w:val="196"/>
        </w:trPr>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231355) filed with the SEC on May 16, 2019)</w:t>
              </w:r>
            </w:hyperlink>
          </w:p>
        </w:tc>
        <w:tc>
          <w:tcPr>
            <w:tcW w:w="6260" w:type="dxa"/>
            <w:vAlign w:val="bottom"/>
            <w:gridSpan w:val="3"/>
          </w:tcPr>
          <w:p>
            <w:pPr>
              <w:spacing w:after="0"/>
              <w:rPr>
                <w:sz w:val="17"/>
                <w:szCs w:val="17"/>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Indenture</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Warrant Certificate</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Purchase Contract Agreement</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6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216"/>
        </w:trPr>
        <w:tc>
          <w:tcPr>
            <w:tcW w:w="64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5.1</w:t>
              </w:r>
            </w:hyperlink>
          </w:p>
        </w:tc>
        <w:tc>
          <w:tcPr>
            <w:tcW w:w="660" w:type="dxa"/>
            <w:vAlign w:val="bottom"/>
          </w:tcPr>
          <w:p>
            <w:pPr>
              <w:spacing w:after="0"/>
              <w:rPr>
                <w:sz w:val="18"/>
                <w:szCs w:val="18"/>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Opinion of Meitar | Law Offices, counsel to the Registrant, as to the validity of the ordinary shares (including consent)</w:t>
              </w:r>
            </w:hyperlink>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Opinion of Latham &amp; Watkins LLP, counsel to the Registrant, as to the validity of the debt securities</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Consent of Kost Forer Gabbay &amp; Kasierer, a member of Ernst &amp; Young Global, an independent registered public accounting firm</w:t>
            </w:r>
          </w:p>
        </w:tc>
      </w:tr>
      <w:tr>
        <w:trPr>
          <w:trHeight w:val="216"/>
        </w:trPr>
        <w:tc>
          <w:tcPr>
            <w:tcW w:w="64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23.2</w:t>
              </w:r>
            </w:hyperlink>
          </w:p>
        </w:tc>
        <w:tc>
          <w:tcPr>
            <w:tcW w:w="660" w:type="dxa"/>
            <w:vAlign w:val="bottom"/>
          </w:tcPr>
          <w:p>
            <w:pPr>
              <w:spacing w:after="0"/>
              <w:rPr>
                <w:sz w:val="18"/>
                <w:szCs w:val="18"/>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Consent of Meitar | Law Offices (included in Exhibit 5.1)</w:t>
              </w:r>
            </w:hyperlink>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6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Consent of Latham &amp; Watkins LLP (included in Exhibit 5.2)</w:t>
            </w:r>
          </w:p>
        </w:tc>
      </w:tr>
      <w:tr>
        <w:trPr>
          <w:trHeight w:val="216"/>
        </w:trPr>
        <w:tc>
          <w:tcPr>
            <w:tcW w:w="640" w:type="dxa"/>
            <w:vAlign w:val="bottom"/>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24.1</w:t>
              </w:r>
            </w:hyperlink>
          </w:p>
        </w:tc>
        <w:tc>
          <w:tcPr>
            <w:tcW w:w="660" w:type="dxa"/>
            <w:vAlign w:val="bottom"/>
          </w:tcPr>
          <w:p>
            <w:pPr>
              <w:spacing w:after="0"/>
              <w:rPr>
                <w:sz w:val="18"/>
                <w:szCs w:val="18"/>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Powers of Attorney (included in signature page)</w:t>
              </w:r>
            </w:hyperlink>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660" w:type="dxa"/>
            <w:vAlign w:val="bottom"/>
          </w:tcPr>
          <w:p>
            <w:pPr>
              <w:spacing w:after="0"/>
              <w:rPr>
                <w:sz w:val="20"/>
                <w:szCs w:val="20"/>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under the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and incorporated by reference to a Current Report on Form 6-K in connection with an offering of securities.</w:t>
      </w:r>
    </w:p>
    <w:p>
      <w:pPr>
        <w:spacing w:after="0" w:line="279" w:lineRule="exact"/>
        <w:rPr>
          <w:sz w:val="20"/>
          <w:szCs w:val="20"/>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incorporated by reference to a subsequent filing in accordance with Section 305(b)(2) of the Trust Indenture Act of 1939, as amended, where applicable.</w:t>
      </w:r>
    </w:p>
    <w:p>
      <w:pPr>
        <w:spacing w:after="0" w:line="381" w:lineRule="exact"/>
        <w:rPr>
          <w:rFonts w:ascii="Times New Roman" w:cs="Times New Roman" w:eastAsia="Times New Roman" w:hAnsi="Times New Roman"/>
          <w:sz w:val="18"/>
          <w:szCs w:val="18"/>
          <w:color w:val="auto"/>
        </w:rPr>
      </w:pPr>
    </w:p>
    <w:p>
      <w:pPr>
        <w:ind w:left="5600" w:hanging="192"/>
        <w:spacing w:after="0"/>
        <w:tabs>
          <w:tab w:leader="none" w:pos="56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92" w:right="6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Item 10. Undertakings.</w:t>
      </w:r>
    </w:p>
    <w:p>
      <w:pPr>
        <w:spacing w:after="0" w:line="291" w:lineRule="exact"/>
        <w:rPr>
          <w:sz w:val="20"/>
          <w:szCs w:val="20"/>
          <w:color w:val="auto"/>
        </w:rPr>
      </w:pPr>
    </w:p>
    <w:p>
      <w:pPr>
        <w:ind w:left="300" w:hanging="292"/>
        <w:spacing w:after="0"/>
        <w:tabs>
          <w:tab w:leader="none" w:pos="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registrant hereby undertakes:</w:t>
      </w:r>
    </w:p>
    <w:p>
      <w:pPr>
        <w:spacing w:after="0" w:line="287" w:lineRule="exact"/>
        <w:rPr>
          <w:rFonts w:ascii="Times New Roman" w:cs="Times New Roman" w:eastAsia="Times New Roman" w:hAnsi="Times New Roman"/>
          <w:sz w:val="22"/>
          <w:szCs w:val="22"/>
          <w:color w:val="auto"/>
        </w:rPr>
      </w:pPr>
    </w:p>
    <w:p>
      <w:pPr>
        <w:ind w:left="260" w:right="900" w:firstLine="3"/>
        <w:spacing w:after="0" w:line="284" w:lineRule="auto"/>
        <w:tabs>
          <w:tab w:leader="none" w:pos="56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during any period in which offers or sales are being made, a post-effective amendment to this registration statement:</w:t>
      </w:r>
    </w:p>
    <w:p>
      <w:pPr>
        <w:spacing w:after="0" w:line="206"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79" w:lineRule="exact"/>
        <w:rPr>
          <w:rFonts w:ascii="Times New Roman" w:cs="Times New Roman" w:eastAsia="Times New Roman" w:hAnsi="Times New Roman"/>
          <w:sz w:val="18"/>
          <w:szCs w:val="18"/>
          <w:color w:val="auto"/>
        </w:rPr>
      </w:pPr>
    </w:p>
    <w:p>
      <w:pPr>
        <w:ind w:left="880" w:right="40" w:hanging="373"/>
        <w:spacing w:after="0" w:line="255" w:lineRule="auto"/>
        <w:tabs>
          <w:tab w:leader="none" w:pos="8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42" w:lineRule="exact"/>
        <w:rPr>
          <w:rFonts w:ascii="Times New Roman" w:cs="Times New Roman" w:eastAsia="Times New Roman" w:hAnsi="Times New Roman"/>
          <w:sz w:val="18"/>
          <w:szCs w:val="18"/>
          <w:color w:val="auto"/>
        </w:rPr>
      </w:pPr>
    </w:p>
    <w:p>
      <w:pPr>
        <w:ind w:left="880" w:right="620" w:hanging="373"/>
        <w:spacing w:after="0" w:line="282" w:lineRule="auto"/>
        <w:tabs>
          <w:tab w:leader="none" w:pos="8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6"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undertakings set forth in paragraphs (a)(1)(i), (a)(1)(ii) and (a)(1)(iii) of this section do not apply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233" w:lineRule="exact"/>
        <w:rPr>
          <w:sz w:val="20"/>
          <w:szCs w:val="20"/>
          <w:color w:val="auto"/>
        </w:rPr>
      </w:pPr>
    </w:p>
    <w:p>
      <w:pPr>
        <w:ind w:left="260" w:right="140" w:firstLine="3"/>
        <w:spacing w:after="0" w:line="270" w:lineRule="auto"/>
        <w:tabs>
          <w:tab w:leader="none" w:pos="56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offering thereof.</w:t>
      </w:r>
    </w:p>
    <w:p>
      <w:pPr>
        <w:spacing w:after="0" w:line="226" w:lineRule="exact"/>
        <w:rPr>
          <w:rFonts w:ascii="Times New Roman" w:cs="Times New Roman" w:eastAsia="Times New Roman" w:hAnsi="Times New Roman"/>
          <w:sz w:val="22"/>
          <w:szCs w:val="22"/>
          <w:color w:val="auto"/>
        </w:rPr>
      </w:pPr>
    </w:p>
    <w:p>
      <w:pPr>
        <w:ind w:left="260" w:right="220" w:firstLine="3"/>
        <w:spacing w:after="0" w:line="284" w:lineRule="auto"/>
        <w:tabs>
          <w:tab w:leader="none" w:pos="56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remove from registration by means of a post-effective amendment any of the securities being registered which remain unsold at the termination of the offering.</w:t>
      </w:r>
    </w:p>
    <w:p>
      <w:pPr>
        <w:spacing w:after="0" w:line="211" w:lineRule="exact"/>
        <w:rPr>
          <w:rFonts w:ascii="Times New Roman" w:cs="Times New Roman" w:eastAsia="Times New Roman" w:hAnsi="Times New Roman"/>
          <w:sz w:val="22"/>
          <w:szCs w:val="22"/>
          <w:color w:val="auto"/>
        </w:rPr>
      </w:pPr>
    </w:p>
    <w:p>
      <w:pPr>
        <w:ind w:left="260" w:right="20" w:firstLine="3"/>
        <w:spacing w:after="0" w:line="259" w:lineRule="auto"/>
        <w:tabs>
          <w:tab w:leader="none" w:pos="56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this Form F-3.</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5600" w:hanging="192"/>
        <w:spacing w:after="0"/>
        <w:tabs>
          <w:tab w:leader="none" w:pos="56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38" w:name="page39"/>
    <w:bookmarkEnd w:id="38"/>
    <w:p>
      <w:pPr>
        <w:ind w:left="552" w:hanging="297"/>
        <w:spacing w:after="0"/>
        <w:tabs>
          <w:tab w:leader="none" w:pos="55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for the purpose of determining liability under the Securities Act of 1933 to any purchaser:</w:t>
      </w:r>
    </w:p>
    <w:p>
      <w:pPr>
        <w:spacing w:after="0" w:line="282" w:lineRule="exact"/>
        <w:rPr>
          <w:rFonts w:ascii="Times New Roman" w:cs="Times New Roman" w:eastAsia="Times New Roman" w:hAnsi="Times New Roman"/>
          <w:sz w:val="22"/>
          <w:szCs w:val="22"/>
          <w:color w:val="auto"/>
        </w:rPr>
      </w:pPr>
    </w:p>
    <w:p>
      <w:pPr>
        <w:ind w:left="872" w:hanging="373"/>
        <w:spacing w:after="0" w:line="282" w:lineRule="auto"/>
        <w:tabs>
          <w:tab w:leader="none" w:pos="87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15" w:lineRule="exact"/>
        <w:rPr>
          <w:rFonts w:ascii="Times New Roman" w:cs="Times New Roman" w:eastAsia="Times New Roman" w:hAnsi="Times New Roman"/>
          <w:sz w:val="18"/>
          <w:szCs w:val="18"/>
          <w:color w:val="auto"/>
        </w:rPr>
      </w:pPr>
    </w:p>
    <w:p>
      <w:pPr>
        <w:ind w:left="872" w:hanging="373"/>
        <w:spacing w:after="0" w:line="253" w:lineRule="auto"/>
        <w:tabs>
          <w:tab w:leader="none" w:pos="87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50" w:lineRule="exact"/>
        <w:rPr>
          <w:rFonts w:ascii="Times New Roman" w:cs="Times New Roman" w:eastAsia="Times New Roman" w:hAnsi="Times New Roman"/>
          <w:sz w:val="18"/>
          <w:szCs w:val="18"/>
          <w:color w:val="auto"/>
        </w:rPr>
      </w:pPr>
    </w:p>
    <w:p>
      <w:pPr>
        <w:ind w:left="252" w:right="40" w:firstLine="3"/>
        <w:spacing w:after="0" w:line="270" w:lineRule="auto"/>
        <w:tabs>
          <w:tab w:leader="none" w:pos="558"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 w:lineRule="exact"/>
        <w:rPr>
          <w:rFonts w:ascii="Times New Roman" w:cs="Times New Roman" w:eastAsia="Times New Roman" w:hAnsi="Times New Roman"/>
          <w:sz w:val="21"/>
          <w:szCs w:val="21"/>
          <w:color w:val="auto"/>
        </w:rPr>
      </w:pPr>
    </w:p>
    <w:p>
      <w:pPr>
        <w:ind w:left="252" w:right="6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239" w:lineRule="exact"/>
        <w:rPr>
          <w:rFonts w:ascii="Times New Roman" w:cs="Times New Roman" w:eastAsia="Times New Roman" w:hAnsi="Times New Roman"/>
          <w:sz w:val="21"/>
          <w:szCs w:val="21"/>
          <w:color w:val="auto"/>
        </w:rPr>
      </w:pPr>
    </w:p>
    <w:p>
      <w:pPr>
        <w:ind w:left="-8" w:right="20" w:firstLine="8"/>
        <w:spacing w:after="0" w:line="261" w:lineRule="auto"/>
        <w:tabs>
          <w:tab w:leader="none" w:pos="29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39" w:lineRule="exact"/>
        <w:rPr>
          <w:rFonts w:ascii="Times New Roman" w:cs="Times New Roman" w:eastAsia="Times New Roman" w:hAnsi="Times New Roman"/>
          <w:sz w:val="22"/>
          <w:szCs w:val="22"/>
          <w:color w:val="auto"/>
        </w:rPr>
      </w:pPr>
    </w:p>
    <w:p>
      <w:pPr>
        <w:ind w:left="-8" w:right="20" w:firstLine="8"/>
        <w:spacing w:after="0" w:line="259" w:lineRule="auto"/>
        <w:tabs>
          <w:tab w:leader="none" w:pos="28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42" w:lineRule="exact"/>
        <w:rPr>
          <w:rFonts w:ascii="Times New Roman" w:cs="Times New Roman" w:eastAsia="Times New Roman" w:hAnsi="Times New Roman"/>
          <w:sz w:val="22"/>
          <w:szCs w:val="22"/>
          <w:color w:val="auto"/>
        </w:rPr>
      </w:pPr>
    </w:p>
    <w:p>
      <w:pPr>
        <w:ind w:left="-8" w:right="560" w:firstLine="8"/>
        <w:spacing w:after="0" w:line="270" w:lineRule="auto"/>
        <w:tabs>
          <w:tab w:leader="none" w:pos="40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388" w:lineRule="exact"/>
        <w:rPr>
          <w:rFonts w:ascii="Times New Roman" w:cs="Times New Roman" w:eastAsia="Times New Roman" w:hAnsi="Times New Roman"/>
          <w:sz w:val="22"/>
          <w:szCs w:val="22"/>
          <w:color w:val="auto"/>
        </w:rPr>
      </w:pPr>
    </w:p>
    <w:p>
      <w:pPr>
        <w:ind w:left="5592" w:hanging="192"/>
        <w:spacing w:after="0"/>
        <w:tabs>
          <w:tab w:leader="none" w:pos="5592" w:val="left"/>
        </w:tabs>
        <w:numPr>
          <w:ilvl w:val="3"/>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96" w:right="359" w:bottom="1440" w:gutter="0" w:footer="0" w:header="0"/>
        </w:sectPr>
      </w:pPr>
    </w:p>
    <w:bookmarkStart w:id="39" w:name="page40"/>
    <w:bookmarkEnd w:id="39"/>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Tel Aviv, Israel on March 2, 2021.</w:t>
      </w:r>
    </w:p>
    <w:p>
      <w:pPr>
        <w:spacing w:after="0" w:line="2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Fiverr International Ltd.</w:t>
      </w:r>
    </w:p>
    <w:p>
      <w:pPr>
        <w:spacing w:after="0" w:line="225" w:lineRule="exact"/>
        <w:rPr>
          <w:sz w:val="20"/>
          <w:szCs w:val="20"/>
          <w:color w:val="auto"/>
        </w:rPr>
      </w:pPr>
    </w:p>
    <w:p>
      <w:pPr>
        <w:ind w:left="55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Micha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 Kaufman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92" w:right="47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9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2"/>
          <w:szCs w:val="22"/>
          <w:color w:val="auto"/>
        </w:rPr>
        <w:t>We, the undersigned officers and directors of Fiverr International Ltd., hereby severally constitute and appoint Micha Kaufman and Ofer Katz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24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this registration statement has been signed by the following persons in the capacities held on the dates indicated.</w:t>
      </w:r>
    </w:p>
    <w:p>
      <w:pPr>
        <w:sectPr>
          <w:pgSz w:w="11900" w:h="16838" w:orient="portrait"/>
          <w:cols w:equalWidth="0" w:num="1">
            <w:col w:w="11200"/>
          </w:cols>
          <w:pgMar w:left="320" w:top="392" w:right="37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4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655"/>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 Kaufman</w:t>
            </w:r>
          </w:p>
        </w:tc>
        <w:tc>
          <w:tcPr>
            <w:tcW w:w="44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Chief Executive Officer and Board Member</w:t>
            </w: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 Kaufman</w:t>
            </w:r>
          </w:p>
        </w:tc>
        <w:tc>
          <w:tcPr>
            <w:tcW w:w="44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0" w:type="dxa"/>
            <w:vAlign w:val="bottom"/>
          </w:tcPr>
          <w:p>
            <w:pPr>
              <w:spacing w:after="0"/>
              <w:rPr>
                <w:sz w:val="1"/>
                <w:szCs w:val="1"/>
                <w:color w:val="auto"/>
              </w:rPr>
            </w:pPr>
          </w:p>
        </w:tc>
      </w:tr>
      <w:tr>
        <w:trPr>
          <w:trHeight w:val="422"/>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Ofer Katz</w:t>
            </w:r>
          </w:p>
        </w:tc>
        <w:tc>
          <w:tcPr>
            <w:tcW w:w="44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President and Chief Financial Officer</w:t>
            </w:r>
          </w:p>
        </w:tc>
        <w:tc>
          <w:tcPr>
            <w:tcW w:w="0" w:type="dxa"/>
            <w:vAlign w:val="bottom"/>
          </w:tcPr>
          <w:p>
            <w:pPr>
              <w:spacing w:after="0"/>
              <w:rPr>
                <w:sz w:val="1"/>
                <w:szCs w:val="1"/>
                <w:color w:val="auto"/>
              </w:rPr>
            </w:pPr>
          </w:p>
        </w:tc>
      </w:tr>
      <w:tr>
        <w:trPr>
          <w:trHeight w:val="219"/>
        </w:trPr>
        <w:tc>
          <w:tcPr>
            <w:tcW w:w="3400" w:type="dxa"/>
            <w:vAlign w:val="bottom"/>
            <w:tcBorders>
              <w:bottom w:val="single" w:sz="8" w:color="auto"/>
            </w:tcBorders>
            <w:vMerge w:val="continue"/>
          </w:tcPr>
          <w:p>
            <w:pPr>
              <w:spacing w:after="0"/>
              <w:rPr>
                <w:sz w:val="18"/>
                <w:szCs w:val="18"/>
                <w:color w:val="auto"/>
              </w:rPr>
            </w:pPr>
          </w:p>
        </w:tc>
        <w:tc>
          <w:tcPr>
            <w:tcW w:w="44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(Principal Financial and</w:t>
            </w: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Ofer Katz</w:t>
            </w:r>
          </w:p>
        </w:tc>
        <w:tc>
          <w:tcPr>
            <w:tcW w:w="44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0" w:type="dxa"/>
            <w:vAlign w:val="bottom"/>
          </w:tcPr>
          <w:p>
            <w:pPr>
              <w:spacing w:after="0"/>
              <w:rPr>
                <w:sz w:val="1"/>
                <w:szCs w:val="1"/>
                <w:color w:val="auto"/>
              </w:rPr>
            </w:pPr>
          </w:p>
        </w:tc>
      </w:tr>
      <w:tr>
        <w:trPr>
          <w:trHeight w:val="421"/>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Philippe Botteri</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Philippe Botteri</w:t>
            </w:r>
          </w:p>
        </w:tc>
        <w:tc>
          <w:tcPr>
            <w:tcW w:w="44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Member of the Board</w:t>
            </w:r>
          </w:p>
        </w:tc>
        <w:tc>
          <w:tcPr>
            <w:tcW w:w="0" w:type="dxa"/>
            <w:vAlign w:val="bottom"/>
          </w:tcPr>
          <w:p>
            <w:pPr>
              <w:spacing w:after="0"/>
              <w:rPr>
                <w:sz w:val="1"/>
                <w:szCs w:val="1"/>
                <w:color w:val="auto"/>
              </w:rPr>
            </w:pPr>
          </w:p>
        </w:tc>
      </w:tr>
      <w:tr>
        <w:trPr>
          <w:trHeight w:val="421"/>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Adam Fisher</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Adam Fisher</w:t>
            </w:r>
          </w:p>
        </w:tc>
        <w:tc>
          <w:tcPr>
            <w:tcW w:w="44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Member of the Board</w:t>
            </w:r>
          </w:p>
        </w:tc>
        <w:tc>
          <w:tcPr>
            <w:tcW w:w="0" w:type="dxa"/>
            <w:vAlign w:val="bottom"/>
          </w:tcPr>
          <w:p>
            <w:pPr>
              <w:spacing w:after="0"/>
              <w:rPr>
                <w:sz w:val="1"/>
                <w:szCs w:val="1"/>
                <w:color w:val="auto"/>
              </w:rPr>
            </w:pPr>
          </w:p>
        </w:tc>
      </w:tr>
      <w:tr>
        <w:trPr>
          <w:trHeight w:val="421"/>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 Gutler</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Ron Gutler</w:t>
            </w:r>
          </w:p>
        </w:tc>
        <w:tc>
          <w:tcPr>
            <w:tcW w:w="44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Member of the Board</w:t>
            </w:r>
          </w:p>
        </w:tc>
        <w:tc>
          <w:tcPr>
            <w:tcW w:w="0" w:type="dxa"/>
            <w:vAlign w:val="bottom"/>
          </w:tcPr>
          <w:p>
            <w:pPr>
              <w:spacing w:after="0"/>
              <w:rPr>
                <w:sz w:val="1"/>
                <w:szCs w:val="1"/>
                <w:color w:val="auto"/>
              </w:rPr>
            </w:pPr>
          </w:p>
        </w:tc>
      </w:tr>
      <w:tr>
        <w:trPr>
          <w:trHeight w:val="421"/>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Gili Iohan</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Gili Iohan</w:t>
            </w:r>
          </w:p>
        </w:tc>
        <w:tc>
          <w:tcPr>
            <w:tcW w:w="44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Member of the Board</w:t>
            </w:r>
          </w:p>
        </w:tc>
        <w:tc>
          <w:tcPr>
            <w:tcW w:w="0" w:type="dxa"/>
            <w:vAlign w:val="bottom"/>
          </w:tcPr>
          <w:p>
            <w:pPr>
              <w:spacing w:after="0"/>
              <w:rPr>
                <w:sz w:val="1"/>
                <w:szCs w:val="1"/>
                <w:color w:val="auto"/>
              </w:rPr>
            </w:pPr>
          </w:p>
        </w:tc>
      </w:tr>
      <w:tr>
        <w:trPr>
          <w:trHeight w:val="421"/>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Jonathan Kolber</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Jonathan Kolber</w:t>
            </w:r>
          </w:p>
        </w:tc>
        <w:tc>
          <w:tcPr>
            <w:tcW w:w="44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Member of the Board</w:t>
            </w:r>
          </w:p>
        </w:tc>
        <w:tc>
          <w:tcPr>
            <w:tcW w:w="0" w:type="dxa"/>
            <w:vAlign w:val="bottom"/>
          </w:tcPr>
          <w:p>
            <w:pPr>
              <w:spacing w:after="0"/>
              <w:rPr>
                <w:sz w:val="1"/>
                <w:szCs w:val="1"/>
                <w:color w:val="auto"/>
              </w:rPr>
            </w:pPr>
          </w:p>
        </w:tc>
      </w:tr>
      <w:tr>
        <w:trPr>
          <w:trHeight w:val="421"/>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Nir Zohar</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Nir Zohar</w:t>
            </w:r>
          </w:p>
        </w:tc>
        <w:tc>
          <w:tcPr>
            <w:tcW w:w="44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Member of the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2021</w:t>
      </w:r>
    </w:p>
    <w:p>
      <w:pPr>
        <w:spacing w:after="0" w:line="473" w:lineRule="exact"/>
        <w:rPr>
          <w:sz w:val="20"/>
          <w:szCs w:val="20"/>
          <w:color w:val="auto"/>
        </w:rPr>
      </w:pPr>
    </w:p>
    <w:p>
      <w:pPr>
        <w:sectPr>
          <w:pgSz w:w="11900" w:h="16838" w:orient="portrait"/>
          <w:cols w:equalWidth="0" w:num="2">
            <w:col w:w="8980" w:space="720"/>
            <w:col w:w="1500"/>
          </w:cols>
          <w:pgMar w:left="320" w:top="392" w:right="379" w:bottom="1440" w:gutter="0" w:footer="0" w:header="0"/>
          <w:type w:val="continuous"/>
        </w:sectPr>
      </w:pP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92" w:right="37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auto"/>
        </w:rPr>
        <w:t>AUTHORIZED REPRESENTATIVE</w:t>
      </w:r>
    </w:p>
    <w:p>
      <w:pPr>
        <w:spacing w:after="0" w:line="291"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the Registrant’s duly authorized representative has signed this registration statement on Form F-3, on March 2, 2021.</w:t>
      </w:r>
    </w:p>
    <w:p>
      <w:pPr>
        <w:spacing w:after="0" w:line="207" w:lineRule="exact"/>
        <w:rPr>
          <w:sz w:val="20"/>
          <w:szCs w:val="20"/>
          <w:color w:val="auto"/>
        </w:rPr>
      </w:pPr>
    </w:p>
    <w:tbl>
      <w:tblPr>
        <w:tblLayout w:type="fixed"/>
        <w:tblInd w:w="620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Siobhan Aalders</w:t>
            </w:r>
          </w:p>
        </w:tc>
      </w:tr>
      <w:tr>
        <w:trPr>
          <w:trHeight w:val="198"/>
        </w:trPr>
        <w:tc>
          <w:tcPr>
            <w:tcW w:w="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Siobhan Aalders</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Global Head of Communication</w:t>
            </w: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42" w:name="page43"/>
    <w:bookmarkEnd w:id="42"/>
    <w:p>
      <w:pPr>
        <w:ind w:left="10240"/>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29210</wp:posOffset>
            </wp:positionV>
            <wp:extent cx="6240780" cy="1020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4078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Fiverr International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Eliezer Kaplan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6473409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Israel</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March 2,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Registration Statement on Form F-3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We have acted as Israeli counsel to Fiverr International Ltd., a company organized under the laws of the State of Israel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in connection with its registration statement on Form F-3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filed with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on the date hereof under the Securities Act of 1933, as amended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which registers the offer, issuance and sale by the Company, from time to time, of any one or more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types of securities, individually or in units:</w:t>
      </w:r>
    </w:p>
    <w:p>
      <w:pPr>
        <w:spacing w:after="0" w:line="271" w:lineRule="exact"/>
        <w:rPr>
          <w:sz w:val="20"/>
          <w:szCs w:val="20"/>
          <w:color w:val="auto"/>
        </w:rPr>
      </w:pPr>
    </w:p>
    <w:p>
      <w:pPr>
        <w:ind w:left="1840" w:hanging="674"/>
        <w:spacing w:after="0"/>
        <w:tabs>
          <w:tab w:leader="none" w:pos="18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shares, no par value (“</w:t>
      </w:r>
      <w:r>
        <w:rPr>
          <w:rFonts w:ascii="Times New Roman" w:cs="Times New Roman" w:eastAsia="Times New Roman" w:hAnsi="Times New Roman"/>
          <w:sz w:val="22"/>
          <w:szCs w:val="22"/>
          <w:b w:val="1"/>
          <w:bCs w:val="1"/>
          <w:color w:val="auto"/>
        </w:rPr>
        <w:t>Ordinary Shares</w:t>
      </w:r>
      <w:r>
        <w:rPr>
          <w:rFonts w:ascii="Times New Roman" w:cs="Times New Roman" w:eastAsia="Times New Roman" w:hAnsi="Times New Roman"/>
          <w:sz w:val="22"/>
          <w:szCs w:val="22"/>
          <w:color w:val="auto"/>
        </w:rPr>
        <w:t>”) of the Company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1800" w:hanging="634"/>
        <w:spacing w:after="0"/>
        <w:tabs>
          <w:tab w:leader="none" w:pos="18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to purchase Ordinary Shares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1780" w:hanging="614"/>
        <w:spacing w:after="0"/>
        <w:tabs>
          <w:tab w:leader="none" w:pos="17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contracts to purchase Shares or other securities of the Company (“</w:t>
      </w:r>
      <w:r>
        <w:rPr>
          <w:rFonts w:ascii="Times New Roman" w:cs="Times New Roman" w:eastAsia="Times New Roman" w:hAnsi="Times New Roman"/>
          <w:sz w:val="22"/>
          <w:szCs w:val="22"/>
          <w:b w:val="1"/>
          <w:bCs w:val="1"/>
          <w:color w:val="auto"/>
        </w:rPr>
        <w:t>Rights</w:t>
      </w:r>
      <w:r>
        <w:rPr>
          <w:rFonts w:ascii="Times New Roman" w:cs="Times New Roman" w:eastAsia="Times New Roman" w:hAnsi="Times New Roman"/>
          <w:sz w:val="22"/>
          <w:szCs w:val="22"/>
          <w:color w:val="auto"/>
        </w:rPr>
        <w:t>”); and</w:t>
      </w:r>
    </w:p>
    <w:p>
      <w:pPr>
        <w:spacing w:after="0" w:line="287" w:lineRule="exact"/>
        <w:rPr>
          <w:rFonts w:ascii="Times New Roman" w:cs="Times New Roman" w:eastAsia="Times New Roman" w:hAnsi="Times New Roman"/>
          <w:sz w:val="22"/>
          <w:szCs w:val="22"/>
          <w:color w:val="auto"/>
        </w:rPr>
      </w:pPr>
    </w:p>
    <w:p>
      <w:pPr>
        <w:ind w:left="520" w:firstLine="646"/>
        <w:spacing w:after="0" w:line="272" w:lineRule="auto"/>
        <w:tabs>
          <w:tab w:leader="none" w:pos="179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securities of the Company (the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to be issued by the Company pursuant to an indenture (a “</w:t>
      </w:r>
      <w:r>
        <w:rPr>
          <w:rFonts w:ascii="Times New Roman" w:cs="Times New Roman" w:eastAsia="Times New Roman" w:hAnsi="Times New Roman"/>
          <w:sz w:val="22"/>
          <w:szCs w:val="22"/>
          <w:b w:val="1"/>
          <w:bCs w:val="1"/>
          <w:color w:val="auto"/>
        </w:rPr>
        <w:t>Company Indenture</w:t>
      </w:r>
      <w:r>
        <w:rPr>
          <w:rFonts w:ascii="Times New Roman" w:cs="Times New Roman" w:eastAsia="Times New Roman" w:hAnsi="Times New Roman"/>
          <w:sz w:val="22"/>
          <w:szCs w:val="22"/>
          <w:color w:val="auto"/>
        </w:rPr>
        <w:t>”) to be executed by the Company and the relevant trustee under the Company Indenture (collectively, the Shares, Warrants, Rights and Debt Securities are referred to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right="700" w:firstLine="648"/>
        <w:spacing w:after="0" w:line="284" w:lineRule="auto"/>
        <w:rPr>
          <w:sz w:val="20"/>
          <w:szCs w:val="20"/>
          <w:color w:val="auto"/>
        </w:rPr>
      </w:pPr>
      <w:r>
        <w:rPr>
          <w:rFonts w:ascii="Times New Roman" w:cs="Times New Roman" w:eastAsia="Times New Roman" w:hAnsi="Times New Roman"/>
          <w:sz w:val="22"/>
          <w:szCs w:val="22"/>
          <w:color w:val="auto"/>
        </w:rPr>
        <w:t>This opinion letter is furnished to you at your request to enable you to fulfill the requirements of Item 601(b)(5) of Regulation S-K under the Securities Act, in connection with the filing of the Registration Statement.</w:t>
      </w:r>
    </w:p>
    <w:p>
      <w:pPr>
        <w:spacing w:after="0" w:line="211"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22"/>
          <w:szCs w:val="22"/>
          <w:color w:val="auto"/>
        </w:rPr>
        <w:t>In connection herewith, we have examined the originals, or photocopies or copies, certified or otherwise identified to our satisfaction, of: (i) the form of the Registration Statement, to which this opinion letter is attached as an exhibit; (ii) the articles of association of the Company, as currently in effect (the “</w:t>
      </w:r>
      <w:r>
        <w:rPr>
          <w:rFonts w:ascii="Times New Roman" w:cs="Times New Roman" w:eastAsia="Times New Roman" w:hAnsi="Times New Roman"/>
          <w:sz w:val="22"/>
          <w:szCs w:val="22"/>
          <w:b w:val="1"/>
          <w:bCs w:val="1"/>
          <w:color w:val="auto"/>
        </w:rPr>
        <w:t>Articles</w:t>
      </w:r>
      <w:r>
        <w:rPr>
          <w:rFonts w:ascii="Times New Roman" w:cs="Times New Roman" w:eastAsia="Times New Roman" w:hAnsi="Times New Roman"/>
          <w:sz w:val="22"/>
          <w:szCs w:val="22"/>
          <w:color w:val="auto"/>
        </w:rPr>
        <w:t>”); (iii) minutes of a meeting of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at which the filing of the Registration Statement and the actions to be taken in connection therewith were approved; and (iv)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238"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21"/>
          <w:szCs w:val="21"/>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We have also assumed the truth of all facts communicated to us by the Company and that all minutes of meetings of the Board and the shareholders of the Company that have been provided to us are true and accurate and have been properly prepared in accordance with the Articles and all applicable laws. We have assumed, in addition, that at the time of the execution and delivery of any definitive purchase, underwriting or similar agreement between the Company and any third party pursuant to which any of the Securities may be issued (a “</w:t>
      </w:r>
      <w:r>
        <w:rPr>
          <w:rFonts w:ascii="Times New Roman" w:cs="Times New Roman" w:eastAsia="Times New Roman" w:hAnsi="Times New Roman"/>
          <w:sz w:val="21"/>
          <w:szCs w:val="21"/>
          <w:b w:val="1"/>
          <w:bCs w:val="1"/>
          <w:color w:val="auto"/>
        </w:rPr>
        <w:t>Securities Agreement</w:t>
      </w:r>
      <w:r>
        <w:rPr>
          <w:rFonts w:ascii="Times New Roman" w:cs="Times New Roman" w:eastAsia="Times New Roman" w:hAnsi="Times New Roman"/>
          <w:sz w:val="21"/>
          <w:szCs w:val="21"/>
          <w:color w:val="auto"/>
        </w:rPr>
        <w:t>”), the Securities Agreement will be the valid and legally binding obligation of such third party, enforceable against such third party in accordance with its terms. We have further assumed that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ectPr>
          <w:pgSz w:w="11900" w:h="16838" w:orient="portrait"/>
          <w:cols w:equalWidth="0" w:num="1">
            <w:col w:w="11240"/>
          </w:cols>
          <w:pgMar w:left="320" w:top="702" w:right="339" w:bottom="0" w:gutter="0" w:footer="0" w:header="0"/>
        </w:sectPr>
      </w:pPr>
    </w:p>
    <w:bookmarkStart w:id="43" w:name="page44"/>
    <w:bookmarkEnd w:id="43"/>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ind w:left="652"/>
        <w:spacing w:after="0"/>
        <w:rPr>
          <w:sz w:val="20"/>
          <w:szCs w:val="20"/>
          <w:color w:val="auto"/>
        </w:rPr>
      </w:pPr>
      <w:r>
        <w:rPr>
          <w:rFonts w:ascii="Times New Roman" w:cs="Times New Roman" w:eastAsia="Times New Roman" w:hAnsi="Times New Roman"/>
          <w:sz w:val="22"/>
          <w:szCs w:val="22"/>
          <w:color w:val="auto"/>
        </w:rPr>
        <w:t>Based upon and subject to the foregoing, we are of the opinion that:</w:t>
      </w:r>
    </w:p>
    <w:p>
      <w:pPr>
        <w:spacing w:after="0" w:line="287" w:lineRule="exact"/>
        <w:rPr>
          <w:sz w:val="20"/>
          <w:szCs w:val="20"/>
          <w:color w:val="auto"/>
        </w:rPr>
      </w:pPr>
    </w:p>
    <w:p>
      <w:pPr>
        <w:ind w:left="-8" w:right="20" w:firstLine="656"/>
        <w:spacing w:after="0" w:line="272" w:lineRule="auto"/>
        <w:tabs>
          <w:tab w:leader="none" w:pos="1176"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Shares, assuming (a) the taking of all necessary corporate action to authorize and approve the issuance of any Primary Shares, the terms of the offering thereof and related matters (for purposes of this paragraph 1, the “</w:t>
      </w:r>
      <w:r>
        <w:rPr>
          <w:rFonts w:ascii="Times New Roman" w:cs="Times New Roman" w:eastAsia="Times New Roman" w:hAnsi="Times New Roman"/>
          <w:sz w:val="21"/>
          <w:szCs w:val="21"/>
          <w:b w:val="1"/>
          <w:bCs w:val="1"/>
          <w:color w:val="auto"/>
        </w:rPr>
        <w:t>Authorizing Resolutions</w:t>
      </w:r>
      <w:r>
        <w:rPr>
          <w:rFonts w:ascii="Times New Roman" w:cs="Times New Roman" w:eastAsia="Times New Roman" w:hAnsi="Times New Roman"/>
          <w:sz w:val="21"/>
          <w:szCs w:val="21"/>
          <w:color w:val="auto"/>
        </w:rPr>
        <w:t>”), (b) the effectiveness of the Registration Statement (including any post-effective amendments) shall not have been terminated or rescinded, (c) the delivery and filing of an appropriate prospectus supplement with respect to the offering of the Shares in compliance with the Securities Act and the applicable rules and regulations thereunder, (d) approval by the Board of, and entry by the Company into, and performance by the Company under, any applicable Securities Agreement, in the form filed as an exhibit to the Registration Statement, any post-effective amendment thereto or a Report of Foreign Private Issuer on Form 6-K, pursuant to which the Shares may be issued and sold, and (e) receipt by the Company of the consideration for the Shares as provided for in the Authorizing Resolutions and in accordance with the provisions of any such Securities Agreement and the applicable convertible Securities, if any, pursuant to which the Shares may be issued, such Shares, including any Ordinary Shares issued upon exercise or conversion of any Securities, will be validly issued, fully paid and non-assessable.</w:t>
      </w:r>
    </w:p>
    <w:p>
      <w:pPr>
        <w:spacing w:after="0" w:line="229" w:lineRule="exact"/>
        <w:rPr>
          <w:rFonts w:ascii="Times New Roman" w:cs="Times New Roman" w:eastAsia="Times New Roman" w:hAnsi="Times New Roman"/>
          <w:sz w:val="21"/>
          <w:szCs w:val="21"/>
          <w:color w:val="auto"/>
        </w:rPr>
      </w:pPr>
    </w:p>
    <w:p>
      <w:pPr>
        <w:ind w:left="-8" w:firstLine="656"/>
        <w:spacing w:after="0" w:line="270" w:lineRule="auto"/>
        <w:tabs>
          <w:tab w:leader="none" w:pos="1176"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Warrants, assuming the (a) taking of all necessary corporate action to authorize and approve the issuance and terms of any Warrants, the terms of the offering thereof and related matters (for purposes of this paragraph 2, the “</w:t>
      </w:r>
      <w:r>
        <w:rPr>
          <w:rFonts w:ascii="Times New Roman" w:cs="Times New Roman" w:eastAsia="Times New Roman" w:hAnsi="Times New Roman"/>
          <w:sz w:val="21"/>
          <w:szCs w:val="21"/>
          <w:b w:val="1"/>
          <w:bCs w:val="1"/>
          <w:color w:val="auto"/>
        </w:rPr>
        <w:t>Authorizing Resolutions</w:t>
      </w:r>
      <w:r>
        <w:rPr>
          <w:rFonts w:ascii="Times New Roman" w:cs="Times New Roman" w:eastAsia="Times New Roman" w:hAnsi="Times New Roman"/>
          <w:sz w:val="21"/>
          <w:szCs w:val="21"/>
          <w:color w:val="auto"/>
        </w:rPr>
        <w:t>”), (b) the effectiveness of the Registration Statement (including any post-effective amendments) shall not have been terminated or rescinded, (c) the due authorization, execution and delivery of (i) the warrant agreement to be dated on or about the date of the first issuance of the applicable Warrants thereunder, by and between the Company and a warrant agent to be selected by the Company (each, a “</w:t>
      </w:r>
      <w:r>
        <w:rPr>
          <w:rFonts w:ascii="Times New Roman" w:cs="Times New Roman" w:eastAsia="Times New Roman" w:hAnsi="Times New Roman"/>
          <w:sz w:val="21"/>
          <w:szCs w:val="21"/>
          <w:b w:val="1"/>
          <w:bCs w:val="1"/>
          <w:color w:val="auto"/>
        </w:rPr>
        <w:t>Warrant Agreement</w:t>
      </w:r>
      <w:r>
        <w:rPr>
          <w:rFonts w:ascii="Times New Roman" w:cs="Times New Roman" w:eastAsia="Times New Roman" w:hAnsi="Times New Roman"/>
          <w:sz w:val="21"/>
          <w:szCs w:val="21"/>
          <w:color w:val="auto"/>
        </w:rPr>
        <w:t>”) and (ii) any certificates relating to the Warrants, (d) the delivery and filing of an appropriate prospectus supplement with respect to the offering of the Warrants in compliance with the Securities Act and the applicable rules and regulations thereunder, (e) entry by the Company into, and performance by the Company under, any applicable Warrant Agreement, in the form filed as an exhibit to the Registration Statement, any post-effective amendment thereto or to a Report of Foreign Private Issuer on Form 6-K, pursuant to which the Warrants may be issued and sold, (f) due establishment by all necessary corporate action and in conformity with the Articles (as then in effect), the Warrant Agreement and any warrant certificates, of the terms of the Warrants and of their issuance and sale, (g) due execution and counter-signature, in accordance with the provisions of the Warrant Agreement, and due issuance, sale and delivery, in accordance with the provisions of any such Warrant Agreement, the Registration Statement and the prospectus included therein, of the Warrants and (h) receipt by the Company of the consideration for the Warrants as provided for in the Authorizing Resolutions and in accordance with the provisions of any such Warrant Agreement, such Warrants, including any Ordinary Shares issued upon exercise or conversion of any Warrants, will constitute valid and legally binding obligations of the Company.</w:t>
      </w:r>
    </w:p>
    <w:p>
      <w:pPr>
        <w:spacing w:after="0" w:line="241" w:lineRule="exact"/>
        <w:rPr>
          <w:rFonts w:ascii="Times New Roman" w:cs="Times New Roman" w:eastAsia="Times New Roman" w:hAnsi="Times New Roman"/>
          <w:sz w:val="21"/>
          <w:szCs w:val="21"/>
          <w:color w:val="auto"/>
        </w:rPr>
      </w:pPr>
    </w:p>
    <w:p>
      <w:pPr>
        <w:jc w:val="both"/>
        <w:ind w:left="-8" w:right="140" w:firstLine="656"/>
        <w:spacing w:after="0" w:line="270" w:lineRule="auto"/>
        <w:tabs>
          <w:tab w:leader="none" w:pos="1176"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Rights, assuming the (a) taking of all necessary corporate action to authorize and approve the issuance and the terms of the Rights, the terms of the offering thereof and related matters (for purposes of this paragraph 3, the “</w:t>
      </w:r>
      <w:r>
        <w:rPr>
          <w:rFonts w:ascii="Times New Roman" w:cs="Times New Roman" w:eastAsia="Times New Roman" w:hAnsi="Times New Roman"/>
          <w:sz w:val="21"/>
          <w:szCs w:val="21"/>
          <w:b w:val="1"/>
          <w:bCs w:val="1"/>
          <w:color w:val="auto"/>
        </w:rPr>
        <w:t>Authorizing Resolutions</w:t>
      </w:r>
      <w:r>
        <w:rPr>
          <w:rFonts w:ascii="Times New Roman" w:cs="Times New Roman" w:eastAsia="Times New Roman" w:hAnsi="Times New Roman"/>
          <w:sz w:val="21"/>
          <w:szCs w:val="21"/>
          <w:color w:val="auto"/>
        </w:rPr>
        <w:t>”), (b) the effectiveness (without termination or rescindment) of the Registration Statement, as finally amended (including any post-effective amendments), under the Securities Act, (c) the due authorization, execution and delivery of (i) the agreement to be dated on or about the date of the first issuance of the applicable Rights thereunder, by and between the Company and an agent to be selected by the Company (a “</w:t>
      </w:r>
      <w:r>
        <w:rPr>
          <w:rFonts w:ascii="Times New Roman" w:cs="Times New Roman" w:eastAsia="Times New Roman" w:hAnsi="Times New Roman"/>
          <w:sz w:val="21"/>
          <w:szCs w:val="21"/>
          <w:b w:val="1"/>
          <w:bCs w:val="1"/>
          <w:color w:val="auto"/>
        </w:rPr>
        <w:t>Purchase Contract</w:t>
      </w:r>
      <w:r>
        <w:rPr>
          <w:rFonts w:ascii="Times New Roman" w:cs="Times New Roman" w:eastAsia="Times New Roman" w:hAnsi="Times New Roman"/>
          <w:sz w:val="21"/>
          <w:szCs w:val="21"/>
          <w:color w:val="auto"/>
        </w:rPr>
        <w:t>”) and (ii) any certificates relating to the Rights,</w:t>
      </w:r>
    </w:p>
    <w:p>
      <w:pPr>
        <w:spacing w:after="0" w:line="2" w:lineRule="exact"/>
        <w:rPr>
          <w:rFonts w:ascii="Times New Roman" w:cs="Times New Roman" w:eastAsia="Times New Roman" w:hAnsi="Times New Roman"/>
          <w:sz w:val="21"/>
          <w:szCs w:val="21"/>
          <w:color w:val="auto"/>
        </w:rPr>
      </w:pPr>
    </w:p>
    <w:p>
      <w:pPr>
        <w:ind w:left="-8" w:firstLine="8"/>
        <w:spacing w:after="0" w:line="257" w:lineRule="auto"/>
        <w:tabs>
          <w:tab w:leader="none" w:pos="29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delivery and filing of an appropriate prospectus supplement with respect to the offering of the Rights in compliance with the Securities Act and the applicable rules and regulations thereunder, (e) approval by the Board of, and entry by the Company into, and performance by the Company under, any applicable Purchase Contract, in the form filed as an exhibit to the Registration Statement, any post-effective amendment thereto or to a Report of Foreign Private Issuer on Form 6-K, pursuant to which the Rights may be issued and sold, (f) due establishment by all necessary corporate action and in conformity with the Articles (as then in effect) and the Purchase Contract and any rights certificates, of the terms of the Rights and of their issuance and sale, (g) due execution and counter-signature, in accordance with the provisions of the Purchase Contract, and due issuance, sale and delivery, in accordance with the provisions of any such Purchase Contract, the Registration Statement and the prospectus included therein, of the Rights and (h) receipt by the Company of the consideration for the Rights as provided for in the Authorizing Resolutions and in accordance with the provisions of any such Purchase Contract, such Rights will constitute valid and legally binding obligations of the Company.</w:t>
      </w:r>
    </w:p>
    <w:p>
      <w:pPr>
        <w:sectPr>
          <w:pgSz w:w="11900" w:h="16838" w:orient="portrait"/>
          <w:cols w:equalWidth="0" w:num="1">
            <w:col w:w="11232"/>
          </w:cols>
          <w:pgMar w:left="328" w:top="12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6" w:right="339" w:bottom="1440" w:gutter="0" w:footer="0" w:header="0"/>
          <w:type w:val="continuous"/>
        </w:sectPr>
      </w:pPr>
    </w:p>
    <w:bookmarkStart w:id="45" w:name="page46"/>
    <w:bookmarkEnd w:id="45"/>
    <w:p>
      <w:pPr>
        <w:ind w:right="60" w:firstLine="648"/>
        <w:spacing w:after="0" w:line="261" w:lineRule="auto"/>
        <w:rPr>
          <w:sz w:val="20"/>
          <w:szCs w:val="20"/>
          <w:color w:val="auto"/>
        </w:rPr>
      </w:pPr>
      <w:r>
        <w:rPr>
          <w:rFonts w:ascii="Times New Roman" w:cs="Times New Roman" w:eastAsia="Times New Roman" w:hAnsi="Times New Roman"/>
          <w:sz w:val="22"/>
          <w:szCs w:val="22"/>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corporate approval documents and operative documents pursuant to which such Securities are to be issued (including an appropriate prospectus supplement), and we will file such supplement or amendment to this opinion (if any) as we may reasonably consider necessary or appropriate by reason of the terms of such Securities.</w:t>
      </w:r>
    </w:p>
    <w:p>
      <w:pPr>
        <w:spacing w:after="0" w:line="239"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22"/>
          <w:szCs w:val="22"/>
          <w:color w:val="auto"/>
        </w:rPr>
        <w:t>We have further assumed that, at the time of issuance and sale of Ordinary Shares and to the extent any such issuance would exceed the maximum share capital of the Company currently authorized, the number of Ordinary Shares that the Company is authorized to issue shall have been increased in accordance with the Company’s Articles such that a sufficient number of Ordinary Shares are authorized and available for issuance under the Articles.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22"/>
          <w:szCs w:val="22"/>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226"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2"/>
          <w:szCs w:val="22"/>
          <w:color w:val="auto"/>
        </w:rPr>
        <w:t>We consent to the filing of this opinion as an exhibit to the Registration Statement and to the reference to our firm appearing under the caption “Legal Matters” and, if applicable, “Enforcement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spacing w:after="0" w:line="234" w:lineRule="exact"/>
        <w:rPr>
          <w:sz w:val="20"/>
          <w:szCs w:val="20"/>
          <w:color w:val="auto"/>
        </w:rPr>
      </w:pPr>
    </w:p>
    <w:p>
      <w:pPr>
        <w:jc w:val="both"/>
        <w:ind w:right="140" w:firstLine="648"/>
        <w:spacing w:after="0" w:line="270" w:lineRule="auto"/>
        <w:rPr>
          <w:sz w:val="20"/>
          <w:szCs w:val="20"/>
          <w:color w:val="auto"/>
        </w:rPr>
      </w:pPr>
      <w:r>
        <w:rPr>
          <w:rFonts w:ascii="Times New Roman" w:cs="Times New Roman" w:eastAsia="Times New Roman" w:hAnsi="Times New Roman"/>
          <w:sz w:val="22"/>
          <w:szCs w:val="22"/>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222"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u w:val="single" w:color="auto"/>
          <w:color w:val="auto"/>
        </w:rPr>
        <w:t>/s/ Meitar Law Offices</w:t>
      </w:r>
    </w:p>
    <w:p>
      <w:pPr>
        <w:spacing w:after="0" w:line="27"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color w:val="auto"/>
        </w:rPr>
        <w:t>Meitar Law Offices</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23.1</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We consent to the reference to our firm under the caption “Experts” in the Registration Statement (Form F-3) and related Prospectus of Fiverr International Ltd. for the registration of ordinary shares, warrants, debt securities, purchase contracts, units or any combination of such securities and to the incorporation by reference therein of our report dated February 18, 2021, with respect to the consolidated financial statements of Fiverr International Ltd. and the effectiveness of internal control over financial reporting of Fiverr International Ltd., included in its Annual Report (Form 20-F) for the year ended December 31, 2020, filed with the Securities and Exchange Commission.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Kost Forer Gabbay &amp; Kasierer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Member of Ernst &amp; Young Global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Tel-Aviv, Israel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6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lvl w:ilvl="1">
      <w:lvlJc w:val="left"/>
      <w:lvlText w:val="%2"/>
      <w:numFmt w:val="upperLetter"/>
      <w:start w:val="35"/>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lvl w:ilvl="1">
      <w:lvlJc w:val="left"/>
      <w:lvlText w:val="%2"/>
      <w:numFmt w:val="upperLetter"/>
      <w:start w:val="35"/>
    </w:lvl>
  </w:abstractNum>
  <w:abstractNum w:abstractNumId="23">
    <w:nsid w:val="54E49EB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4">
    <w:nsid w:val="71F32454"/>
    <w:multiLevelType w:val="hybridMultilevel"/>
    <w:lvl w:ilvl="0">
      <w:lvlJc w:val="left"/>
      <w:lvlText w:val="(%1)"/>
      <w:numFmt w:val="decimal"/>
      <w:start w:val="2"/>
    </w:lvl>
    <w:lvl w:ilvl="1">
      <w:lvlJc w:val="left"/>
      <w:lvlText w:val="%2"/>
      <w:numFmt w:val="upperLetter"/>
      <w:start w:val="35"/>
    </w:lvl>
  </w:abstractNum>
  <w:abstractNum w:abstractNumId="25">
    <w:nsid w:val="2CA88611"/>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lvl w:ilvl="3">
      <w:lvlJc w:val="left"/>
      <w:lvlText w:val="%4"/>
      <w:numFmt w:val="upperLetter"/>
      <w:start w:val="1"/>
    </w:lvl>
  </w:abstractNum>
  <w:abstractNum w:abstractNumId="26">
    <w:nsid w:val="836C40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upperLetter"/>
      <w:start w:val="3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lvl w:ilvl="1">
      <w:lvlJc w:val="left"/>
      <w:lvlText w:val="%2."/>
      <w:numFmt w:val="decimal"/>
      <w:start w:val="1"/>
    </w:lvl>
  </w:abstractNum>
  <w:abstractNum w:abstractNumId="29">
    <w:nsid w:val="8138641"/>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jpe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53" Type="http://schemas.openxmlformats.org/officeDocument/2006/relationships/hyperlink" Target="https://www.sec.gov/Archives/edgar/data/1762301/000110465920041146/tm203275d1_ex1-1.htm" TargetMode="External"/><Relationship Id="rId54" Type="http://schemas.openxmlformats.org/officeDocument/2006/relationships/hyperlink" Target="https://www.sec.gov/Archives/edgar/data/1762301/000104746919003139/a2238508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2021-03-02T15:05:21Z</dcterms:created>
  <dcterms:modified xsi:type="dcterms:W3CDTF">2021-03-02T15:05:21Z</dcterms:modified>
</cp:coreProperties>
</file>