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Fiverr International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Ameriprise Financial,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2,924,550.00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3,579,395.00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3,579,395.00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Columbia Management Investment Advisers, LLC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MINNESOTA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2,924,550.00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3,268,665.00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3,268,665.00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05"/>
        <w:gridCol w:w="8945"/>
        <w:gridCol w:w="155"/>
      </w:tblGrid>
      <w:tr>
        <w:trPr/>
        <w:tc>
          <w:tcPr>
            <w:tcW w:w="1105" w:type="dxa"/>
            <w:tcBorders/>
            <w:vAlign w:val="center"/>
          </w:tcPr>
          <w:p>
            <w:pPr>
              <w:pStyle w:val="TableContents"/>
              <w:bidi w:val="0"/>
              <w:spacing w:before="0" w:after="283"/>
              <w:jc w:val="left"/>
              <w:rPr/>
            </w:pPr>
            <w:r>
              <w:rPr/>
              <w:t>Item 1.</w:t>
            </w:r>
          </w:p>
        </w:tc>
        <w:tc>
          <w:tcPr>
            <w:tcW w:w="894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Name of issuer: </w:t>
            </w:r>
          </w:p>
          <w:p>
            <w:pPr>
              <w:pStyle w:val="TableContents"/>
              <w:bidi w:val="0"/>
              <w:spacing w:before="0" w:after="0"/>
              <w:jc w:val="left"/>
              <w:rPr/>
            </w:pPr>
            <w:r>
              <w:rPr/>
              <w:t>Fiverr International Ltd</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 Eliezer Kaplan St, Tel Aviv, Israel 6473409</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2.</w:t>
            </w:r>
          </w:p>
        </w:tc>
        <w:tc>
          <w:tcPr>
            <w:tcW w:w="894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Name of person filing: </w:t>
            </w:r>
          </w:p>
          <w:p>
            <w:pPr>
              <w:pStyle w:val="TableContents"/>
              <w:bidi w:val="0"/>
              <w:spacing w:before="0" w:after="0"/>
              <w:jc w:val="left"/>
              <w:rPr/>
            </w:pPr>
            <w:r>
              <w:rPr/>
              <w:t>(a) Ameriprise Financial, Inc. ("AFI") (b) Columbia Management Investment Advisers, LLC ("CMIA")</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 145 Ameriprise Financial Center, Minneapolis, MN 55474 (b) 290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jc w:val="left"/>
              <w:rPr/>
            </w:pPr>
            <w:r>
              <w:rPr/>
              <w:t xml:space="preserve">Citizenship: </w:t>
            </w:r>
          </w:p>
          <w:p>
            <w:pPr>
              <w:pStyle w:val="TableContents"/>
              <w:bidi w:val="0"/>
              <w:spacing w:before="0" w:after="0"/>
              <w:jc w:val="left"/>
              <w:rPr/>
            </w:pPr>
            <w:r>
              <w:rPr/>
              <w:t>(a) Delaware (b) Minnesota</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(d)</w:t>
            </w:r>
          </w:p>
        </w:tc>
        <w:tc>
          <w:tcPr>
            <w:tcW w:w="894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(e)</w:t>
            </w:r>
          </w:p>
        </w:tc>
        <w:tc>
          <w:tcPr>
            <w:tcW w:w="894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3.</w:t>
            </w:r>
          </w:p>
        </w:tc>
        <w:tc>
          <w:tcPr>
            <w:tcW w:w="894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(d)</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(e)</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(f)</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(g)</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(h)</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(j)</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(k)</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9100" w:type="dxa"/>
            <w:gridSpan w:val="2"/>
            <w:tcBorders/>
            <w:vAlign w:val="center"/>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4.</w:t>
            </w:r>
          </w:p>
        </w:tc>
        <w:tc>
          <w:tcPr>
            <w:tcW w:w="894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Incorporated by reference to Items (5)-(9) and (11) of the cover page pertaining to each reporting person. AFI, as the parent company of CMIA, may be deemed to beneficially own the shares reported herein by CMIA. Accordingly, the shares reported herein by AFI include those shares separately reported herein by CMIA. Each of AFI and CMIA disclaims beneficial ownership of any shares reported on this Schedule.</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 4(b) is set forth in Rows (5)-(9) and (11) of the cover page for each Reporting Person hereto and is incorporated herein by reference for each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5.</w:t>
            </w:r>
          </w:p>
        </w:tc>
        <w:tc>
          <w:tcPr>
            <w:tcW w:w="894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6.</w:t>
            </w:r>
          </w:p>
        </w:tc>
        <w:tc>
          <w:tcPr>
            <w:tcW w:w="894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7.</w:t>
            </w:r>
          </w:p>
        </w:tc>
        <w:tc>
          <w:tcPr>
            <w:tcW w:w="894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AFI: See Exhibit I</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8.</w:t>
            </w:r>
          </w:p>
        </w:tc>
        <w:tc>
          <w:tcPr>
            <w:tcW w:w="894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9.</w:t>
            </w:r>
          </w:p>
        </w:tc>
        <w:tc>
          <w:tcPr>
            <w:tcW w:w="894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Ameriprise Financial, Inc.</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Michael G. Clarke</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Michael G. Clarke, Senior Vice President, North America Head of Operations &amp; Investor Services</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04"/>
        <w:gridCol w:w="5101"/>
      </w:tblGrid>
      <w:tr>
        <w:trPr/>
        <w:tc>
          <w:tcPr>
            <w:tcW w:w="5104" w:type="dxa"/>
            <w:tcBorders/>
            <w:vAlign w:val="center"/>
          </w:tcPr>
          <w:p>
            <w:pPr>
              <w:pStyle w:val="TableContents"/>
              <w:bidi w:val="0"/>
              <w:spacing w:before="0" w:after="0"/>
              <w:jc w:val="left"/>
              <w:rPr/>
            </w:pPr>
            <w:r>
              <w:rPr/>
              <w:t> </w:t>
            </w:r>
          </w:p>
          <w:tbl>
            <w:tblPr>
              <w:tblW w:w="4966" w:type="dxa"/>
              <w:jc w:val="left"/>
              <w:tblInd w:w="0" w:type="dxa"/>
              <w:tblLayout w:type="fixed"/>
              <w:tblCellMar>
                <w:top w:w="28" w:type="dxa"/>
                <w:left w:w="28" w:type="dxa"/>
                <w:bottom w:w="28" w:type="dxa"/>
                <w:right w:w="28" w:type="dxa"/>
              </w:tblCellMar>
            </w:tblPr>
            <w:tblGrid>
              <w:gridCol w:w="4966"/>
            </w:tblGrid>
            <w:tr>
              <w:trPr/>
              <w:tc>
                <w:tcPr>
                  <w:tcW w:w="4966" w:type="dxa"/>
                  <w:tcBorders/>
                  <w:vAlign w:val="center"/>
                </w:tcPr>
                <w:p>
                  <w:pPr>
                    <w:pStyle w:val="TableContents"/>
                    <w:bidi w:val="0"/>
                    <w:spacing w:before="0" w:after="0"/>
                    <w:jc w:val="left"/>
                    <w:rPr/>
                  </w:pPr>
                  <w:r>
                    <w:rPr/>
                    <w:t>Columbia Management Investment Advisers, LLC</w:t>
                  </w:r>
                </w:p>
              </w:tc>
            </w:tr>
          </w:tbl>
          <w:p>
            <w:pPr>
              <w:pStyle w:val="TableContents"/>
              <w:bidi w:val="0"/>
              <w:spacing w:before="0" w:after="283"/>
              <w:jc w:val="left"/>
              <w:rPr/>
            </w:pPr>
            <w:r>
              <w:rPr/>
            </w:r>
          </w:p>
        </w:tc>
        <w:tc>
          <w:tcPr>
            <w:tcW w:w="5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Michael G. Clarke</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Michael G. Clarke, Senior Vice President, North America Head of Operations &amp; Investor Services</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Contact Information Charles Chiesa VP Fund Treasurer Global Operations and Investor Services Telephone: 617-385-9593</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Index Exhibit I Identification and Classification of the Subsidiary which Acquired the Security Being Reported on by the Parent Holding Company. Exhibit II Joint Filing Agreement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1225</Words>
  <Characters>6444</Characters>
  <CharactersWithSpaces>7640</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